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BADB3" w14:textId="192C89C3" w:rsidR="00E90E49" w:rsidRPr="00091D30" w:rsidRDefault="00E90E49" w:rsidP="00E35559">
      <w:pPr>
        <w:pStyle w:val="3GPPHeader"/>
        <w:spacing w:after="60"/>
        <w:rPr>
          <w:sz w:val="32"/>
          <w:szCs w:val="32"/>
          <w:lang w:val="en-US"/>
        </w:rPr>
      </w:pPr>
      <w:bookmarkStart w:id="0" w:name="_GoBack"/>
      <w:bookmarkEnd w:id="0"/>
      <w:r w:rsidRPr="00091D30">
        <w:rPr>
          <w:lang w:val="en-US"/>
        </w:rPr>
        <w:t>3GPP TSG-RAN WG</w:t>
      </w:r>
      <w:r w:rsidR="007730BD" w:rsidRPr="00091D30">
        <w:rPr>
          <w:lang w:val="en-US"/>
        </w:rPr>
        <w:t>2</w:t>
      </w:r>
      <w:r w:rsidRPr="00091D30">
        <w:rPr>
          <w:lang w:val="en-US"/>
        </w:rPr>
        <w:t xml:space="preserve"> #</w:t>
      </w:r>
      <w:r w:rsidR="00AE3743" w:rsidRPr="00091D30">
        <w:rPr>
          <w:lang w:val="en-US"/>
        </w:rPr>
        <w:t>9</w:t>
      </w:r>
      <w:r w:rsidR="0035491B" w:rsidRPr="00091D30">
        <w:rPr>
          <w:lang w:val="en-US"/>
        </w:rPr>
        <w:t>9</w:t>
      </w:r>
      <w:r w:rsidRPr="00091D30">
        <w:rPr>
          <w:lang w:val="en-US"/>
        </w:rPr>
        <w:tab/>
      </w:r>
      <w:r w:rsidRPr="00091D30">
        <w:rPr>
          <w:sz w:val="32"/>
          <w:szCs w:val="32"/>
          <w:lang w:val="en-US"/>
        </w:rPr>
        <w:t xml:space="preserve">Tdoc </w:t>
      </w:r>
      <w:r w:rsidR="00091557" w:rsidRPr="00091D30">
        <w:rPr>
          <w:sz w:val="32"/>
          <w:szCs w:val="32"/>
          <w:lang w:val="en-US"/>
        </w:rPr>
        <w:t>R2-</w:t>
      </w:r>
      <w:r w:rsidR="005F3025" w:rsidRPr="00091D30">
        <w:rPr>
          <w:sz w:val="32"/>
          <w:szCs w:val="32"/>
          <w:lang w:val="en-US"/>
        </w:rPr>
        <w:t>1</w:t>
      </w:r>
      <w:r w:rsidR="000039F4" w:rsidRPr="00091D30">
        <w:rPr>
          <w:sz w:val="32"/>
          <w:szCs w:val="32"/>
          <w:lang w:val="en-US"/>
        </w:rPr>
        <w:t>7</w:t>
      </w:r>
      <w:r w:rsidR="00572D2D" w:rsidRPr="00091D30">
        <w:rPr>
          <w:sz w:val="32"/>
          <w:szCs w:val="32"/>
          <w:lang w:val="en-US"/>
        </w:rPr>
        <w:t>08199</w:t>
      </w:r>
    </w:p>
    <w:p w14:paraId="7603AD5A" w14:textId="77777777" w:rsidR="00E90E49" w:rsidRPr="00091D30" w:rsidRDefault="0035491B" w:rsidP="00311702">
      <w:pPr>
        <w:pStyle w:val="3GPPHeader"/>
        <w:rPr>
          <w:lang w:val="en-US"/>
        </w:rPr>
      </w:pPr>
      <w:r w:rsidRPr="00091D30">
        <w:rPr>
          <w:lang w:val="en-US"/>
        </w:rPr>
        <w:t>Berlin, Germany, 21</w:t>
      </w:r>
      <w:r w:rsidRPr="00091D30">
        <w:rPr>
          <w:vertAlign w:val="superscript"/>
          <w:lang w:val="en-US"/>
        </w:rPr>
        <w:t>st</w:t>
      </w:r>
      <w:r w:rsidRPr="00091D30">
        <w:rPr>
          <w:lang w:val="en-US"/>
        </w:rPr>
        <w:t xml:space="preserve"> – 25</w:t>
      </w:r>
      <w:r w:rsidRPr="00091D30">
        <w:rPr>
          <w:vertAlign w:val="superscript"/>
          <w:lang w:val="en-US"/>
        </w:rPr>
        <w:t>th</w:t>
      </w:r>
      <w:r w:rsidRPr="00091D30">
        <w:rPr>
          <w:lang w:val="en-US"/>
        </w:rPr>
        <w:t xml:space="preserve"> August 2017</w:t>
      </w:r>
    </w:p>
    <w:p w14:paraId="061E4352" w14:textId="77777777" w:rsidR="00E90E49" w:rsidRPr="00091D30" w:rsidRDefault="00E90E49" w:rsidP="00357380">
      <w:pPr>
        <w:pStyle w:val="3GPPHeader"/>
        <w:rPr>
          <w:lang w:val="en-US"/>
        </w:rPr>
      </w:pPr>
    </w:p>
    <w:p w14:paraId="52094A60" w14:textId="1946AA3A" w:rsidR="00E90E49" w:rsidRPr="00091D30" w:rsidRDefault="00E90E49" w:rsidP="00311702">
      <w:pPr>
        <w:pStyle w:val="3GPPHeader"/>
        <w:rPr>
          <w:sz w:val="22"/>
          <w:szCs w:val="22"/>
          <w:lang w:val="en-US"/>
        </w:rPr>
      </w:pPr>
      <w:r w:rsidRPr="00091D30">
        <w:rPr>
          <w:sz w:val="22"/>
          <w:szCs w:val="22"/>
          <w:lang w:val="en-US"/>
        </w:rPr>
        <w:t>Agenda Item:</w:t>
      </w:r>
      <w:r w:rsidRPr="00091D30">
        <w:rPr>
          <w:sz w:val="22"/>
          <w:szCs w:val="22"/>
          <w:lang w:val="en-US"/>
        </w:rPr>
        <w:tab/>
      </w:r>
      <w:r w:rsidR="00876C27" w:rsidRPr="00091D30">
        <w:rPr>
          <w:sz w:val="22"/>
          <w:szCs w:val="22"/>
          <w:lang w:val="en-US"/>
        </w:rPr>
        <w:t>10.3.1.12</w:t>
      </w:r>
    </w:p>
    <w:p w14:paraId="49771772" w14:textId="77777777" w:rsidR="00E90E49" w:rsidRPr="00091D30" w:rsidRDefault="003D3C45" w:rsidP="00F64C2B">
      <w:pPr>
        <w:pStyle w:val="3GPPHeader"/>
        <w:rPr>
          <w:sz w:val="22"/>
          <w:szCs w:val="22"/>
          <w:lang w:val="en-US"/>
        </w:rPr>
      </w:pPr>
      <w:r w:rsidRPr="00091D30">
        <w:rPr>
          <w:sz w:val="22"/>
          <w:szCs w:val="22"/>
          <w:lang w:val="en-US"/>
        </w:rPr>
        <w:t>Source:</w:t>
      </w:r>
      <w:r w:rsidR="00E90E49" w:rsidRPr="00091D30">
        <w:rPr>
          <w:sz w:val="22"/>
          <w:szCs w:val="22"/>
          <w:lang w:val="en-US"/>
        </w:rPr>
        <w:tab/>
      </w:r>
      <w:r w:rsidR="00F64C2B" w:rsidRPr="00091D30">
        <w:rPr>
          <w:sz w:val="22"/>
          <w:szCs w:val="22"/>
          <w:lang w:val="en-US"/>
        </w:rPr>
        <w:t>Ericsson</w:t>
      </w:r>
    </w:p>
    <w:p w14:paraId="78CB50B2" w14:textId="0C6F6857" w:rsidR="00E90E49" w:rsidRPr="00091D30" w:rsidRDefault="003D3C45" w:rsidP="00311702">
      <w:pPr>
        <w:pStyle w:val="3GPPHeader"/>
        <w:rPr>
          <w:sz w:val="22"/>
          <w:szCs w:val="22"/>
          <w:lang w:val="en-US"/>
        </w:rPr>
      </w:pPr>
      <w:r w:rsidRPr="00091D30">
        <w:rPr>
          <w:sz w:val="22"/>
          <w:szCs w:val="22"/>
          <w:lang w:val="en-US"/>
        </w:rPr>
        <w:t>Title:</w:t>
      </w:r>
      <w:r w:rsidR="00E90E49" w:rsidRPr="00091D30">
        <w:rPr>
          <w:sz w:val="22"/>
          <w:szCs w:val="22"/>
          <w:lang w:val="en-US"/>
        </w:rPr>
        <w:tab/>
      </w:r>
      <w:r w:rsidR="009E1EF1" w:rsidRPr="00091D30">
        <w:rPr>
          <w:sz w:val="22"/>
          <w:szCs w:val="22"/>
          <w:lang w:val="en-US"/>
        </w:rPr>
        <w:t>Power headroom report</w:t>
      </w:r>
      <w:r w:rsidR="00D020CC" w:rsidRPr="00091D30">
        <w:rPr>
          <w:sz w:val="22"/>
          <w:szCs w:val="22"/>
          <w:lang w:val="en-US"/>
        </w:rPr>
        <w:t xml:space="preserve"> in NR</w:t>
      </w:r>
    </w:p>
    <w:p w14:paraId="2AE3A62A" w14:textId="7A18044F" w:rsidR="00E90E49" w:rsidRPr="00091D30" w:rsidRDefault="00E90E49" w:rsidP="00D546FF">
      <w:pPr>
        <w:pStyle w:val="3GPPHeader"/>
        <w:rPr>
          <w:sz w:val="22"/>
          <w:szCs w:val="22"/>
          <w:lang w:val="en-US"/>
        </w:rPr>
      </w:pPr>
      <w:r w:rsidRPr="00091D30">
        <w:rPr>
          <w:sz w:val="22"/>
          <w:szCs w:val="22"/>
          <w:lang w:val="en-US"/>
        </w:rPr>
        <w:t>Document for:</w:t>
      </w:r>
      <w:r w:rsidRPr="00091D30">
        <w:rPr>
          <w:sz w:val="22"/>
          <w:szCs w:val="22"/>
          <w:lang w:val="en-US"/>
        </w:rPr>
        <w:tab/>
        <w:t>Discussion, Decision</w:t>
      </w:r>
    </w:p>
    <w:p w14:paraId="066A3A59" w14:textId="77777777" w:rsidR="00572D2D" w:rsidRPr="00091D30" w:rsidRDefault="00572D2D" w:rsidP="00D546FF">
      <w:pPr>
        <w:pStyle w:val="3GPPHeader"/>
        <w:rPr>
          <w:sz w:val="22"/>
          <w:szCs w:val="22"/>
          <w:lang w:val="en-US"/>
        </w:rPr>
      </w:pPr>
    </w:p>
    <w:p w14:paraId="5F5E684E" w14:textId="4B57C319" w:rsidR="00C24345" w:rsidRPr="00091D30" w:rsidRDefault="00E90E49" w:rsidP="00A2052C">
      <w:pPr>
        <w:pStyle w:val="Heading1"/>
        <w:rPr>
          <w:lang w:val="en-US"/>
        </w:rPr>
      </w:pPr>
      <w:r w:rsidRPr="00091D30">
        <w:rPr>
          <w:lang w:val="en-US"/>
        </w:rPr>
        <w:t>Introduction</w:t>
      </w:r>
    </w:p>
    <w:p w14:paraId="1A36292F" w14:textId="77777777" w:rsidR="00374F73" w:rsidRPr="00091D30" w:rsidRDefault="00374F73" w:rsidP="00374F73">
      <w:pPr>
        <w:rPr>
          <w:lang w:val="en-US"/>
        </w:rPr>
      </w:pPr>
      <w:r w:rsidRPr="00091D30">
        <w:rPr>
          <w:lang w:val="en-US"/>
        </w:rPr>
        <w:t xml:space="preserve">The related agreements from </w:t>
      </w:r>
      <w:r w:rsidRPr="00091D30">
        <w:rPr>
          <w:lang w:val="en-US" w:eastAsia="ja-JP"/>
        </w:rPr>
        <w:t xml:space="preserve">RAN1#88 </w:t>
      </w:r>
      <w:r w:rsidRPr="00091D30">
        <w:rPr>
          <w:lang w:val="en-US"/>
        </w:rPr>
        <w:t>are highlighted as below:</w:t>
      </w:r>
    </w:p>
    <w:p w14:paraId="2AD6BB4E" w14:textId="77777777" w:rsidR="00374F73" w:rsidRPr="00091D30" w:rsidRDefault="00374F73" w:rsidP="00374F73">
      <w:pPr>
        <w:pStyle w:val="ListParagraph"/>
        <w:numPr>
          <w:ilvl w:val="0"/>
          <w:numId w:val="26"/>
        </w:numPr>
        <w:rPr>
          <w:rFonts w:eastAsia="MS Mincho"/>
          <w:lang w:val="en-US"/>
        </w:rPr>
      </w:pPr>
      <w:r w:rsidRPr="00091D30">
        <w:rPr>
          <w:rFonts w:eastAsia="MS Mincho"/>
          <w:lang w:val="en-US"/>
        </w:rPr>
        <w:t>NR supports beam specific power control as baseline.</w:t>
      </w:r>
    </w:p>
    <w:p w14:paraId="0ADC60E7" w14:textId="77777777" w:rsidR="00374F73" w:rsidRPr="00091D30" w:rsidRDefault="00374F73" w:rsidP="00374F73">
      <w:pPr>
        <w:pStyle w:val="ListParagraph"/>
        <w:numPr>
          <w:ilvl w:val="1"/>
          <w:numId w:val="26"/>
        </w:numPr>
        <w:rPr>
          <w:rFonts w:eastAsia="MS Mincho"/>
          <w:lang w:val="en-US"/>
        </w:rPr>
      </w:pPr>
      <w:r w:rsidRPr="00091D30">
        <w:rPr>
          <w:rFonts w:eastAsia="MS Mincho"/>
          <w:lang w:val="en-US"/>
        </w:rPr>
        <w:t>FFS details especially regarding handling layer/layer-group/panel specific/beam group specific/beam pair link specific power control</w:t>
      </w:r>
    </w:p>
    <w:p w14:paraId="437E2EEC" w14:textId="77777777" w:rsidR="00374F73" w:rsidRPr="00091D30" w:rsidRDefault="00374F73" w:rsidP="00374F73">
      <w:pPr>
        <w:pStyle w:val="ListParagraph"/>
        <w:numPr>
          <w:ilvl w:val="1"/>
          <w:numId w:val="26"/>
        </w:numPr>
        <w:rPr>
          <w:rFonts w:eastAsia="MS Mincho"/>
          <w:lang w:val="en-US"/>
        </w:rPr>
      </w:pPr>
      <w:r w:rsidRPr="00091D30">
        <w:rPr>
          <w:rFonts w:eastAsia="MS Mincho"/>
          <w:lang w:val="en-US"/>
        </w:rPr>
        <w:t>FFS whether to apply open loop only, closed loop only, or both</w:t>
      </w:r>
    </w:p>
    <w:p w14:paraId="5ADAE5A1" w14:textId="77777777" w:rsidR="00374F73" w:rsidRPr="00091D30" w:rsidRDefault="00374F73" w:rsidP="00374F73">
      <w:pPr>
        <w:pStyle w:val="ListParagraph"/>
        <w:numPr>
          <w:ilvl w:val="0"/>
          <w:numId w:val="26"/>
        </w:numPr>
        <w:rPr>
          <w:lang w:val="en-US"/>
        </w:rPr>
      </w:pPr>
      <w:r w:rsidRPr="00091D30">
        <w:rPr>
          <w:rFonts w:eastAsia="MS Mincho"/>
          <w:lang w:val="en-US"/>
        </w:rPr>
        <w:t>Waveform (CP-OFDM vs. DFT-s-OFDM) specific power control for a UE, e.g., PHR, offset needs to be studied in WI.</w:t>
      </w:r>
    </w:p>
    <w:p w14:paraId="43A3C3E2" w14:textId="77777777" w:rsidR="00374F73" w:rsidRPr="00091D30" w:rsidRDefault="00374F73" w:rsidP="00374F73">
      <w:pPr>
        <w:rPr>
          <w:lang w:val="en-US"/>
        </w:rPr>
      </w:pPr>
      <w:r w:rsidRPr="00091D30">
        <w:rPr>
          <w:lang w:val="en-US"/>
        </w:rPr>
        <w:t>The related agreements from RAN1#88bis are highlighted as below</w:t>
      </w:r>
    </w:p>
    <w:p w14:paraId="7C9E81FA" w14:textId="77777777" w:rsidR="00374F73" w:rsidRPr="00091D30" w:rsidRDefault="00374F73" w:rsidP="00374F73">
      <w:pPr>
        <w:numPr>
          <w:ilvl w:val="0"/>
          <w:numId w:val="25"/>
        </w:numPr>
        <w:spacing w:after="180"/>
        <w:contextualSpacing/>
        <w:jc w:val="left"/>
        <w:rPr>
          <w:rFonts w:eastAsia="MS Mincho"/>
          <w:lang w:val="en-US"/>
        </w:rPr>
      </w:pPr>
      <w:r w:rsidRPr="00091D30">
        <w:rPr>
          <w:rFonts w:eastAsia="MS Mincho"/>
          <w:lang w:val="en-US"/>
        </w:rPr>
        <w:t xml:space="preserve">For beam specific power control, NR defines beam specific open &amp; closed loop parameters. </w:t>
      </w:r>
    </w:p>
    <w:p w14:paraId="67ED3B98" w14:textId="77777777" w:rsidR="00374F73" w:rsidRPr="00091D30" w:rsidRDefault="00374F73" w:rsidP="00374F73">
      <w:pPr>
        <w:numPr>
          <w:ilvl w:val="1"/>
          <w:numId w:val="25"/>
        </w:numPr>
        <w:spacing w:after="180"/>
        <w:contextualSpacing/>
        <w:jc w:val="left"/>
        <w:rPr>
          <w:rFonts w:eastAsia="MS Mincho"/>
          <w:lang w:val="en-US"/>
        </w:rPr>
      </w:pPr>
      <w:r w:rsidRPr="00091D30">
        <w:rPr>
          <w:rFonts w:eastAsia="MS Mincho"/>
          <w:lang w:val="en-US"/>
        </w:rPr>
        <w:t>FFS: details on beam common parameter(s)</w:t>
      </w:r>
    </w:p>
    <w:p w14:paraId="13142617" w14:textId="77777777" w:rsidR="00374F73" w:rsidRPr="00091D30" w:rsidRDefault="00374F73" w:rsidP="00374F73">
      <w:pPr>
        <w:numPr>
          <w:ilvl w:val="1"/>
          <w:numId w:val="25"/>
        </w:numPr>
        <w:spacing w:after="180"/>
        <w:contextualSpacing/>
        <w:jc w:val="left"/>
        <w:rPr>
          <w:rFonts w:eastAsia="MS Mincho"/>
          <w:lang w:val="en-US"/>
        </w:rPr>
      </w:pPr>
      <w:r w:rsidRPr="00091D30">
        <w:rPr>
          <w:rFonts w:eastAsia="MS Mincho"/>
          <w:lang w:val="en-US"/>
        </w:rPr>
        <w:t>Note: Agreed on RAN1 #88 FFS details on “beam specific”, especially regarding handling layer/layer-group/panel specific/beam group specific/beam pair link specific power control</w:t>
      </w:r>
    </w:p>
    <w:p w14:paraId="0705FB1A" w14:textId="77777777" w:rsidR="00374F73" w:rsidRPr="00091D30" w:rsidRDefault="00374F73" w:rsidP="00374F73">
      <w:pPr>
        <w:numPr>
          <w:ilvl w:val="0"/>
          <w:numId w:val="25"/>
        </w:numPr>
        <w:spacing w:after="180"/>
        <w:contextualSpacing/>
        <w:jc w:val="left"/>
        <w:rPr>
          <w:rFonts w:eastAsia="MS Mincho"/>
          <w:lang w:val="en-US"/>
        </w:rPr>
      </w:pPr>
      <w:r w:rsidRPr="00091D30">
        <w:rPr>
          <w:rFonts w:eastAsia="MS Mincho"/>
          <w:lang w:val="en-US"/>
        </w:rPr>
        <w:t>gNB is aware of the power headroom differences for different waveforms, if the UE can be configured for both waveforms.</w:t>
      </w:r>
    </w:p>
    <w:p w14:paraId="0B7ED782" w14:textId="77777777" w:rsidR="00374F73" w:rsidRPr="00091D30" w:rsidRDefault="00374F73" w:rsidP="00374F73">
      <w:pPr>
        <w:numPr>
          <w:ilvl w:val="1"/>
          <w:numId w:val="25"/>
        </w:numPr>
        <w:spacing w:after="180"/>
        <w:contextualSpacing/>
        <w:jc w:val="left"/>
        <w:rPr>
          <w:rFonts w:eastAsia="MS Mincho"/>
          <w:lang w:val="en-US"/>
        </w:rPr>
      </w:pPr>
      <w:r w:rsidRPr="00091D30">
        <w:rPr>
          <w:rFonts w:eastAsia="MS Mincho"/>
          <w:lang w:val="en-US"/>
        </w:rPr>
        <w:t xml:space="preserve">FFS: offset configured/specified, reported, </w:t>
      </w:r>
    </w:p>
    <w:p w14:paraId="43D46EA6" w14:textId="5DBA521C" w:rsidR="00A2052C" w:rsidRPr="00091D30" w:rsidRDefault="00374F73" w:rsidP="00A2052C">
      <w:pPr>
        <w:numPr>
          <w:ilvl w:val="1"/>
          <w:numId w:val="25"/>
        </w:numPr>
        <w:spacing w:after="180"/>
        <w:contextualSpacing/>
        <w:jc w:val="left"/>
        <w:rPr>
          <w:rFonts w:eastAsia="MS Mincho"/>
          <w:lang w:val="en-US"/>
        </w:rPr>
      </w:pPr>
      <w:r w:rsidRPr="00091D30">
        <w:rPr>
          <w:rFonts w:eastAsia="MS Mincho"/>
          <w:lang w:val="en-US"/>
        </w:rPr>
        <w:t>FFS on the details of power control parameters for example, P_c, Max or other open/closed loop parameter</w:t>
      </w:r>
    </w:p>
    <w:p w14:paraId="7BD3B8FB" w14:textId="789F768E" w:rsidR="00F920A1" w:rsidRPr="00091D30" w:rsidRDefault="00F920A1" w:rsidP="00F920A1">
      <w:pPr>
        <w:rPr>
          <w:lang w:val="en-US"/>
        </w:rPr>
      </w:pPr>
      <w:r w:rsidRPr="00091D30">
        <w:rPr>
          <w:lang w:val="en-US"/>
        </w:rPr>
        <w:t xml:space="preserve">The related agreements from </w:t>
      </w:r>
      <w:r w:rsidRPr="00091D30">
        <w:rPr>
          <w:bCs/>
          <w:lang w:val="en-US"/>
        </w:rPr>
        <w:t xml:space="preserve">#RAN1 </w:t>
      </w:r>
      <w:r w:rsidRPr="00091D30">
        <w:rPr>
          <w:lang w:val="en-US"/>
        </w:rPr>
        <w:t>Ad Hoc held on 27th – 29th June 2017, are highlighted as below</w:t>
      </w:r>
    </w:p>
    <w:p w14:paraId="5E93DCC1" w14:textId="77777777" w:rsidR="00F920A1" w:rsidRPr="00091D30" w:rsidRDefault="00F920A1" w:rsidP="00F920A1">
      <w:pPr>
        <w:numPr>
          <w:ilvl w:val="0"/>
          <w:numId w:val="30"/>
        </w:numPr>
        <w:overflowPunct/>
        <w:autoSpaceDE/>
        <w:autoSpaceDN/>
        <w:adjustRightInd/>
        <w:spacing w:after="0"/>
        <w:jc w:val="left"/>
        <w:textAlignment w:val="auto"/>
        <w:rPr>
          <w:rFonts w:eastAsia="MS Mincho"/>
          <w:lang w:val="en-US" w:eastAsia="ja-JP"/>
        </w:rPr>
      </w:pPr>
      <w:r w:rsidRPr="00091D30">
        <w:rPr>
          <w:rFonts w:eastAsia="MS Mincho"/>
          <w:lang w:val="en-US" w:eastAsia="ja-JP"/>
        </w:rPr>
        <w:t>UE’s power headroom report is based on the corresponding PUSCH transmission(s)</w:t>
      </w:r>
    </w:p>
    <w:p w14:paraId="6988C5E2" w14:textId="27C3A60D" w:rsidR="00F920A1" w:rsidRPr="00091D30" w:rsidRDefault="00F920A1" w:rsidP="00F920A1">
      <w:pPr>
        <w:numPr>
          <w:ilvl w:val="1"/>
          <w:numId w:val="30"/>
        </w:numPr>
        <w:overflowPunct/>
        <w:autoSpaceDE/>
        <w:autoSpaceDN/>
        <w:adjustRightInd/>
        <w:spacing w:after="0"/>
        <w:jc w:val="left"/>
        <w:textAlignment w:val="auto"/>
        <w:rPr>
          <w:rFonts w:eastAsia="MS Mincho"/>
          <w:lang w:val="en-US" w:eastAsia="ja-JP"/>
        </w:rPr>
      </w:pPr>
      <w:r w:rsidRPr="00091D30">
        <w:rPr>
          <w:rFonts w:eastAsia="MS Mincho"/>
          <w:lang w:val="en-US" w:eastAsia="ja-JP"/>
        </w:rPr>
        <w:t>FFS details</w:t>
      </w:r>
    </w:p>
    <w:p w14:paraId="01ECEBB5" w14:textId="51491589" w:rsidR="005448A1" w:rsidRPr="00091D30" w:rsidRDefault="005448A1" w:rsidP="005448A1">
      <w:pPr>
        <w:pStyle w:val="ListParagraph"/>
        <w:numPr>
          <w:ilvl w:val="0"/>
          <w:numId w:val="31"/>
        </w:numPr>
        <w:overflowPunct/>
        <w:autoSpaceDE/>
        <w:autoSpaceDN/>
        <w:adjustRightInd/>
        <w:spacing w:after="0"/>
        <w:jc w:val="left"/>
        <w:textAlignment w:val="auto"/>
        <w:rPr>
          <w:rFonts w:eastAsia="MS Mincho"/>
          <w:lang w:val="en-US" w:eastAsia="ja-JP"/>
        </w:rPr>
      </w:pPr>
      <w:r w:rsidRPr="00091D30">
        <w:rPr>
          <w:rFonts w:eastAsia="MS Mincho"/>
          <w:lang w:val="en-US" w:eastAsia="ja-JP"/>
        </w:rPr>
        <w:t>For FDD, separate sets of bandwidth part (BWP) configurations for DL &amp; UL per component carrier</w:t>
      </w:r>
    </w:p>
    <w:p w14:paraId="791B2484" w14:textId="77777777" w:rsidR="005448A1" w:rsidRPr="00091D30" w:rsidRDefault="005448A1" w:rsidP="005448A1">
      <w:pPr>
        <w:numPr>
          <w:ilvl w:val="1"/>
          <w:numId w:val="31"/>
        </w:numPr>
        <w:overflowPunct/>
        <w:autoSpaceDE/>
        <w:autoSpaceDN/>
        <w:adjustRightInd/>
        <w:spacing w:after="0"/>
        <w:jc w:val="left"/>
        <w:textAlignment w:val="auto"/>
        <w:rPr>
          <w:rFonts w:eastAsia="MS Mincho"/>
          <w:lang w:val="en-US" w:eastAsia="ja-JP"/>
        </w:rPr>
      </w:pPr>
      <w:r w:rsidRPr="00091D30">
        <w:rPr>
          <w:rFonts w:eastAsia="MS Mincho"/>
          <w:lang w:val="en-US" w:eastAsia="ja-JP"/>
        </w:rPr>
        <w:t>The numerology of DL BWP configuration is applied to at least PDCCH, PDSCH &amp; corresponding DMRS</w:t>
      </w:r>
    </w:p>
    <w:p w14:paraId="2154CAC7" w14:textId="77777777" w:rsidR="005448A1" w:rsidRPr="00091D30" w:rsidRDefault="005448A1" w:rsidP="005448A1">
      <w:pPr>
        <w:numPr>
          <w:ilvl w:val="1"/>
          <w:numId w:val="31"/>
        </w:numPr>
        <w:overflowPunct/>
        <w:autoSpaceDE/>
        <w:autoSpaceDN/>
        <w:adjustRightInd/>
        <w:spacing w:after="0"/>
        <w:jc w:val="left"/>
        <w:textAlignment w:val="auto"/>
        <w:rPr>
          <w:rFonts w:eastAsia="MS Mincho"/>
          <w:lang w:val="en-US" w:eastAsia="ja-JP"/>
        </w:rPr>
      </w:pPr>
      <w:r w:rsidRPr="00091D30">
        <w:rPr>
          <w:rFonts w:eastAsia="MS Mincho"/>
          <w:lang w:val="en-US" w:eastAsia="ja-JP"/>
        </w:rPr>
        <w:t>The numerology of UL BWP configuration is applied to at least PUCCH, PUSCH &amp; corresponding DMRS</w:t>
      </w:r>
    </w:p>
    <w:p w14:paraId="4CF3F136" w14:textId="77777777" w:rsidR="005448A1" w:rsidRPr="00091D30" w:rsidRDefault="005448A1" w:rsidP="005448A1">
      <w:pPr>
        <w:numPr>
          <w:ilvl w:val="0"/>
          <w:numId w:val="31"/>
        </w:numPr>
        <w:overflowPunct/>
        <w:autoSpaceDE/>
        <w:autoSpaceDN/>
        <w:adjustRightInd/>
        <w:spacing w:after="0"/>
        <w:jc w:val="left"/>
        <w:textAlignment w:val="auto"/>
        <w:rPr>
          <w:rFonts w:eastAsia="MS Mincho"/>
          <w:lang w:val="en-US" w:eastAsia="ja-JP"/>
        </w:rPr>
      </w:pPr>
      <w:r w:rsidRPr="00091D30">
        <w:rPr>
          <w:rFonts w:eastAsia="MS Mincho"/>
          <w:lang w:val="en-US" w:eastAsia="ja-JP"/>
        </w:rPr>
        <w:t>For TDD, separate sets of BWP configurations for DL &amp; UL per component carrier</w:t>
      </w:r>
    </w:p>
    <w:p w14:paraId="457971F1" w14:textId="77777777" w:rsidR="005448A1" w:rsidRPr="00091D30" w:rsidRDefault="005448A1" w:rsidP="005448A1">
      <w:pPr>
        <w:numPr>
          <w:ilvl w:val="1"/>
          <w:numId w:val="31"/>
        </w:numPr>
        <w:overflowPunct/>
        <w:autoSpaceDE/>
        <w:autoSpaceDN/>
        <w:adjustRightInd/>
        <w:spacing w:after="0"/>
        <w:jc w:val="left"/>
        <w:textAlignment w:val="auto"/>
        <w:rPr>
          <w:rFonts w:eastAsia="MS Mincho"/>
          <w:lang w:val="en-US" w:eastAsia="ja-JP"/>
        </w:rPr>
      </w:pPr>
      <w:r w:rsidRPr="00091D30">
        <w:rPr>
          <w:rFonts w:eastAsia="MS Mincho"/>
          <w:lang w:val="en-US" w:eastAsia="ja-JP"/>
        </w:rPr>
        <w:t>The numerology of DL BWP configuration is applied to at least PDCCH, PDSCH &amp; corresponding DMRS</w:t>
      </w:r>
    </w:p>
    <w:p w14:paraId="5F1515C6" w14:textId="77777777" w:rsidR="005448A1" w:rsidRPr="00091D30" w:rsidRDefault="005448A1" w:rsidP="005448A1">
      <w:pPr>
        <w:numPr>
          <w:ilvl w:val="1"/>
          <w:numId w:val="31"/>
        </w:numPr>
        <w:overflowPunct/>
        <w:autoSpaceDE/>
        <w:autoSpaceDN/>
        <w:adjustRightInd/>
        <w:spacing w:after="0"/>
        <w:jc w:val="left"/>
        <w:textAlignment w:val="auto"/>
        <w:rPr>
          <w:rFonts w:eastAsia="MS Mincho"/>
          <w:lang w:val="en-US" w:eastAsia="ja-JP"/>
        </w:rPr>
      </w:pPr>
      <w:r w:rsidRPr="00091D30">
        <w:rPr>
          <w:rFonts w:eastAsia="MS Mincho"/>
          <w:lang w:val="en-US" w:eastAsia="ja-JP"/>
        </w:rPr>
        <w:t>The numerology of UL BWP configuration is applied to at least PUCCH, PUSCH &amp; corresponding DMRS</w:t>
      </w:r>
    </w:p>
    <w:p w14:paraId="46F123FF" w14:textId="77777777" w:rsidR="005448A1" w:rsidRPr="00091D30" w:rsidRDefault="005448A1" w:rsidP="005448A1">
      <w:pPr>
        <w:numPr>
          <w:ilvl w:val="1"/>
          <w:numId w:val="31"/>
        </w:numPr>
        <w:overflowPunct/>
        <w:autoSpaceDE/>
        <w:autoSpaceDN/>
        <w:adjustRightInd/>
        <w:spacing w:after="0"/>
        <w:jc w:val="left"/>
        <w:textAlignment w:val="auto"/>
        <w:rPr>
          <w:rFonts w:eastAsia="MS Mincho"/>
          <w:lang w:val="en-US" w:eastAsia="ja-JP"/>
        </w:rPr>
      </w:pPr>
      <w:r w:rsidRPr="00091D30">
        <w:rPr>
          <w:rFonts w:eastAsia="MS Mincho"/>
          <w:lang w:val="en-US" w:eastAsia="ja-JP"/>
        </w:rPr>
        <w:t>For UE, if different active DL and UL BWPs are configured, UE is not expected to retune the center frequency of channel BW between DL and UL</w:t>
      </w:r>
    </w:p>
    <w:p w14:paraId="2BFECA06" w14:textId="77777777" w:rsidR="005448A1" w:rsidRPr="00091D30" w:rsidRDefault="005448A1" w:rsidP="005448A1">
      <w:pPr>
        <w:numPr>
          <w:ilvl w:val="0"/>
          <w:numId w:val="31"/>
        </w:numPr>
        <w:overflowPunct/>
        <w:autoSpaceDE/>
        <w:autoSpaceDN/>
        <w:adjustRightInd/>
        <w:spacing w:after="0"/>
        <w:jc w:val="left"/>
        <w:textAlignment w:val="auto"/>
        <w:rPr>
          <w:rFonts w:eastAsia="MS Mincho"/>
          <w:lang w:val="en-US" w:eastAsia="ja-JP"/>
        </w:rPr>
      </w:pPr>
      <w:r w:rsidRPr="00091D30">
        <w:rPr>
          <w:rFonts w:eastAsia="MS Mincho"/>
          <w:lang w:val="en-US" w:eastAsia="ja-JP"/>
        </w:rPr>
        <w:t>At least one of configured DL BWPs includes one CORESET with common search space at least in primary component carrier</w:t>
      </w:r>
    </w:p>
    <w:p w14:paraId="20510E5B" w14:textId="77777777" w:rsidR="005448A1" w:rsidRPr="00091D30" w:rsidRDefault="005448A1" w:rsidP="005448A1">
      <w:pPr>
        <w:numPr>
          <w:ilvl w:val="0"/>
          <w:numId w:val="31"/>
        </w:numPr>
        <w:overflowPunct/>
        <w:autoSpaceDE/>
        <w:autoSpaceDN/>
        <w:adjustRightInd/>
        <w:spacing w:after="0"/>
        <w:jc w:val="left"/>
        <w:textAlignment w:val="auto"/>
        <w:rPr>
          <w:rFonts w:eastAsia="MS Mincho"/>
          <w:lang w:val="en-US" w:eastAsia="ja-JP"/>
        </w:rPr>
      </w:pPr>
      <w:r w:rsidRPr="00091D30">
        <w:rPr>
          <w:rFonts w:eastAsia="MS Mincho"/>
          <w:lang w:val="en-US" w:eastAsia="ja-JP"/>
        </w:rPr>
        <w:t>Each configured DL BWP includes at least one CORESET with UE-specific search space for the case of single active BWP at a given time</w:t>
      </w:r>
    </w:p>
    <w:p w14:paraId="17C6116C" w14:textId="4ABF19E4" w:rsidR="005448A1" w:rsidRPr="00091D30" w:rsidRDefault="005448A1" w:rsidP="005448A1">
      <w:pPr>
        <w:numPr>
          <w:ilvl w:val="1"/>
          <w:numId w:val="31"/>
        </w:numPr>
        <w:overflowPunct/>
        <w:autoSpaceDE/>
        <w:autoSpaceDN/>
        <w:adjustRightInd/>
        <w:spacing w:after="0"/>
        <w:jc w:val="left"/>
        <w:textAlignment w:val="auto"/>
        <w:rPr>
          <w:rFonts w:eastAsia="MS Mincho"/>
          <w:lang w:val="en-US" w:eastAsia="ja-JP"/>
        </w:rPr>
      </w:pPr>
      <w:r w:rsidRPr="00091D30">
        <w:rPr>
          <w:rFonts w:eastAsia="MS Mincho"/>
          <w:lang w:val="en-US" w:eastAsia="ja-JP"/>
        </w:rPr>
        <w:t>In case of single active BWP at a given time, if active DL BWP does not include common search space, then UE is not required to monitor the common search space</w:t>
      </w:r>
    </w:p>
    <w:p w14:paraId="1894239F" w14:textId="2D70B864" w:rsidR="00F920A1" w:rsidRPr="00091D30" w:rsidRDefault="00F920A1" w:rsidP="00F920A1">
      <w:pPr>
        <w:rPr>
          <w:lang w:val="en-US"/>
        </w:rPr>
      </w:pPr>
      <w:r w:rsidRPr="00091D30">
        <w:rPr>
          <w:lang w:val="en-US"/>
        </w:rPr>
        <w:lastRenderedPageBreak/>
        <w:t xml:space="preserve">Based on above RAN1 agreements, this contribution analyses </w:t>
      </w:r>
      <w:r w:rsidR="006B739B" w:rsidRPr="00091D30">
        <w:rPr>
          <w:lang w:val="en-US"/>
        </w:rPr>
        <w:t>RAN2 aspects for PHR, and enable the further progresses in RAN2.</w:t>
      </w:r>
      <w:r w:rsidR="008737B6">
        <w:rPr>
          <w:lang w:val="en-US"/>
        </w:rPr>
        <w:t xml:space="preserve"> There is a corresponding text proposal in [1].</w:t>
      </w:r>
    </w:p>
    <w:p w14:paraId="47A5A8E0" w14:textId="306D60C0" w:rsidR="004000E8" w:rsidRPr="00091D30" w:rsidRDefault="004000E8" w:rsidP="00CE0424">
      <w:pPr>
        <w:pStyle w:val="Heading1"/>
        <w:rPr>
          <w:lang w:val="en-US"/>
        </w:rPr>
      </w:pPr>
      <w:bookmarkStart w:id="1" w:name="_Ref178064866"/>
      <w:r w:rsidRPr="00091D30">
        <w:rPr>
          <w:lang w:val="en-US"/>
        </w:rPr>
        <w:t>Discussion</w:t>
      </w:r>
      <w:bookmarkEnd w:id="1"/>
    </w:p>
    <w:p w14:paraId="4654F603" w14:textId="69CE307B" w:rsidR="00D63061" w:rsidRPr="00091D30" w:rsidRDefault="00D63061" w:rsidP="00D63061">
      <w:pPr>
        <w:pStyle w:val="Heading2"/>
        <w:numPr>
          <w:ilvl w:val="1"/>
          <w:numId w:val="23"/>
        </w:numPr>
        <w:textAlignment w:val="auto"/>
        <w:rPr>
          <w:lang w:val="en-US"/>
        </w:rPr>
      </w:pPr>
      <w:r w:rsidRPr="00091D30">
        <w:rPr>
          <w:lang w:val="en-US"/>
        </w:rPr>
        <w:t xml:space="preserve">PHR </w:t>
      </w:r>
      <w:r w:rsidR="001F46FF" w:rsidRPr="00091D30">
        <w:rPr>
          <w:lang w:val="en-US"/>
        </w:rPr>
        <w:t>general aspects</w:t>
      </w:r>
    </w:p>
    <w:p w14:paraId="0D057F1E" w14:textId="0B124690" w:rsidR="001F46FF" w:rsidRPr="00091D30" w:rsidRDefault="001F46FF" w:rsidP="001F46FF">
      <w:pPr>
        <w:pStyle w:val="Heading3"/>
        <w:rPr>
          <w:lang w:val="en-US"/>
        </w:rPr>
      </w:pPr>
      <w:r w:rsidRPr="00091D30">
        <w:rPr>
          <w:lang w:val="en-US"/>
        </w:rPr>
        <w:t>Format</w:t>
      </w:r>
    </w:p>
    <w:p w14:paraId="446EA888" w14:textId="12BD5E2B" w:rsidR="00D63061" w:rsidRPr="00091D30" w:rsidRDefault="00D63061" w:rsidP="00D63061">
      <w:pPr>
        <w:rPr>
          <w:lang w:val="en-US" w:eastAsia="ko-KR"/>
        </w:rPr>
      </w:pPr>
      <w:r w:rsidRPr="00091D30">
        <w:rPr>
          <w:lang w:val="en-US" w:eastAsia="ko-KR"/>
        </w:rPr>
        <w:t xml:space="preserve">In LTE, </w:t>
      </w:r>
      <w:r w:rsidRPr="00091D30">
        <w:rPr>
          <w:lang w:val="en-US"/>
        </w:rPr>
        <w:t xml:space="preserve">The Power Headroom reporting procedure is used to provide the serving eNB with information about the difference between the nominal UE maximum transmit power and the estimated power for UL-SCH transmission or SRS transmission per activated Serving Cell and also with information about the difference between the nominal UE maximum power and the estimated power for UL-SCH and PUCCH transmission on SpCell and PUCCH SCell. The similar procedure </w:t>
      </w:r>
      <w:r w:rsidRPr="00091D30">
        <w:rPr>
          <w:lang w:val="en-US" w:eastAsia="ko-KR"/>
        </w:rPr>
        <w:t xml:space="preserve">would be </w:t>
      </w:r>
      <w:r w:rsidR="00B553FD" w:rsidRPr="00091D30">
        <w:rPr>
          <w:lang w:val="en-US" w:eastAsia="ko-KR"/>
        </w:rPr>
        <w:t xml:space="preserve">also </w:t>
      </w:r>
      <w:r w:rsidRPr="00091D30">
        <w:rPr>
          <w:lang w:val="en-US" w:eastAsia="ko-KR"/>
        </w:rPr>
        <w:t>required for NR.</w:t>
      </w:r>
    </w:p>
    <w:p w14:paraId="64444245" w14:textId="77777777" w:rsidR="00D63061" w:rsidRPr="00091D30" w:rsidRDefault="00D63061" w:rsidP="00D63061">
      <w:pPr>
        <w:rPr>
          <w:lang w:val="en-US" w:eastAsia="ko-KR"/>
        </w:rPr>
      </w:pPr>
      <w:r w:rsidRPr="00091D30">
        <w:rPr>
          <w:lang w:val="en-US" w:eastAsia="ko-KR"/>
        </w:rPr>
        <w:t>LTE defines the following PHR MAC CE in Rel-8 as shown below for single connection (see 3GPP TS 36.321)</w:t>
      </w:r>
    </w:p>
    <w:p w14:paraId="29AF3B3E" w14:textId="77777777" w:rsidR="00D63061" w:rsidRPr="00091D30" w:rsidRDefault="00D63061" w:rsidP="00D63061">
      <w:pPr>
        <w:pStyle w:val="TH"/>
        <w:rPr>
          <w:lang w:val="en-US"/>
        </w:rPr>
      </w:pPr>
      <w:r w:rsidRPr="00091D30">
        <w:rPr>
          <w:noProof/>
          <w:lang w:val="en-US" w:eastAsia="zh-CN"/>
        </w:rPr>
        <w:drawing>
          <wp:inline distT="0" distB="0" distL="0" distR="0" wp14:anchorId="3A301F2B" wp14:editId="63289175">
            <wp:extent cx="2235200" cy="668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35200" cy="668655"/>
                    </a:xfrm>
                    <a:prstGeom prst="rect">
                      <a:avLst/>
                    </a:prstGeom>
                    <a:noFill/>
                    <a:ln>
                      <a:noFill/>
                    </a:ln>
                  </pic:spPr>
                </pic:pic>
              </a:graphicData>
            </a:graphic>
          </wp:inline>
        </w:drawing>
      </w:r>
    </w:p>
    <w:p w14:paraId="42807BC3" w14:textId="77777777" w:rsidR="00D63061" w:rsidRPr="00091D30" w:rsidRDefault="00D63061" w:rsidP="00D63061">
      <w:pPr>
        <w:pStyle w:val="TF"/>
        <w:rPr>
          <w:lang w:val="en-US" w:eastAsia="ko-KR"/>
        </w:rPr>
      </w:pPr>
      <w:r w:rsidRPr="00091D30">
        <w:rPr>
          <w:lang w:val="en-US" w:eastAsia="ko-KR"/>
        </w:rPr>
        <w:t>Figure 6.1.3.6-1: PHR MAC control element</w:t>
      </w:r>
    </w:p>
    <w:p w14:paraId="5618B132" w14:textId="1DDA3B91" w:rsidR="00D63061" w:rsidRPr="00091D30" w:rsidRDefault="00D63061" w:rsidP="00D63061">
      <w:pPr>
        <w:rPr>
          <w:lang w:val="en-US" w:eastAsia="ko-KR"/>
        </w:rPr>
      </w:pPr>
      <w:r w:rsidRPr="00091D30">
        <w:rPr>
          <w:lang w:val="en-US"/>
        </w:rPr>
        <w:t>It has a fixed size and consists of a single octet. This</w:t>
      </w:r>
      <w:r w:rsidRPr="00091D30">
        <w:rPr>
          <w:lang w:val="en-US" w:eastAsia="ko-KR"/>
        </w:rPr>
        <w:t xml:space="preserve"> format is extended to support carrier aggregation in Rel-10</w:t>
      </w:r>
      <w:r w:rsidR="000F3A42" w:rsidRPr="00091D30">
        <w:rPr>
          <w:lang w:val="en-US" w:eastAsia="ko-KR"/>
        </w:rPr>
        <w:t xml:space="preserve"> (up to 8 serving cells)</w:t>
      </w:r>
      <w:r w:rsidRPr="00091D30">
        <w:rPr>
          <w:lang w:val="en-US" w:eastAsia="ko-KR"/>
        </w:rPr>
        <w:t>, and further extended to support PUCCH SCell and/or 32 serving cells in Rel-13. The DC PHR MAC is also defined in Rel-12 to support dual connectivity.</w:t>
      </w:r>
    </w:p>
    <w:p w14:paraId="5DED9841" w14:textId="0CA1F2A1" w:rsidR="000F3A42" w:rsidRPr="00091D30" w:rsidRDefault="000F3A42" w:rsidP="0080612C">
      <w:pPr>
        <w:rPr>
          <w:lang w:val="en-US"/>
        </w:rPr>
      </w:pPr>
      <w:r w:rsidRPr="00091D30">
        <w:rPr>
          <w:lang w:val="en-US" w:eastAsia="ko-KR"/>
        </w:rPr>
        <w:t xml:space="preserve">While for extended PHR MAC CE, we need to study if NR shall support both </w:t>
      </w:r>
      <w:r w:rsidRPr="00091D30">
        <w:rPr>
          <w:i/>
          <w:lang w:val="en-US"/>
        </w:rPr>
        <w:t xml:space="preserve">extendedPHR </w:t>
      </w:r>
      <w:r w:rsidRPr="00091D30">
        <w:rPr>
          <w:lang w:val="en-US"/>
        </w:rPr>
        <w:t xml:space="preserve">and </w:t>
      </w:r>
      <w:r w:rsidRPr="00091D30">
        <w:rPr>
          <w:i/>
          <w:lang w:val="en-US"/>
        </w:rPr>
        <w:t>extendedPHR2.</w:t>
      </w:r>
      <w:r w:rsidR="0080612C" w:rsidRPr="00091D30">
        <w:rPr>
          <w:i/>
          <w:lang w:val="en-US"/>
        </w:rPr>
        <w:t xml:space="preserve"> </w:t>
      </w:r>
      <w:r w:rsidR="0080612C" w:rsidRPr="00091D30">
        <w:rPr>
          <w:lang w:val="en-US"/>
        </w:rPr>
        <w:t xml:space="preserve">It may be beneficial to have an unified format. This is also related to a question how many serving cells/CCs that NR CA supports from Rel-15 onwards. If NR CA is designed to configure more than 8 CCs from the beginning, it may be unnecessary to support both </w:t>
      </w:r>
      <w:r w:rsidR="0080612C" w:rsidRPr="00091D30">
        <w:rPr>
          <w:i/>
          <w:lang w:val="en-US"/>
        </w:rPr>
        <w:t>extendedPHR</w:t>
      </w:r>
      <w:r w:rsidR="0080612C" w:rsidRPr="00091D30">
        <w:rPr>
          <w:lang w:val="en-US"/>
        </w:rPr>
        <w:t xml:space="preserve"> and </w:t>
      </w:r>
      <w:r w:rsidR="0080612C" w:rsidRPr="00091D30">
        <w:rPr>
          <w:i/>
          <w:lang w:val="en-US"/>
        </w:rPr>
        <w:t>extendedPHR2</w:t>
      </w:r>
      <w:r w:rsidR="0080612C" w:rsidRPr="00091D30">
        <w:rPr>
          <w:lang w:val="en-US"/>
        </w:rPr>
        <w:t xml:space="preserve"> formats.</w:t>
      </w:r>
    </w:p>
    <w:p w14:paraId="43D1B146" w14:textId="61D60464" w:rsidR="0080612C" w:rsidRPr="00091D30" w:rsidRDefault="00D63061" w:rsidP="00091D30">
      <w:pPr>
        <w:pStyle w:val="Proposal"/>
      </w:pPr>
      <w:bookmarkStart w:id="2" w:name="_Toc489970231"/>
      <w:bookmarkStart w:id="3" w:name="_Toc489988179"/>
      <w:bookmarkStart w:id="4" w:name="_Toc490048799"/>
      <w:bookmarkStart w:id="5" w:name="_Toc490059823"/>
      <w:bookmarkStart w:id="6" w:name="_Toc490120698"/>
      <w:bookmarkStart w:id="7" w:name="_Toc490217824"/>
      <w:bookmarkStart w:id="8" w:name="_Toc480752282"/>
      <w:bookmarkStart w:id="9" w:name="_Toc487637986"/>
      <w:bookmarkStart w:id="10" w:name="_Toc487639648"/>
      <w:bookmarkStart w:id="11" w:name="_Toc489822809"/>
      <w:bookmarkStart w:id="12" w:name="_Toc489822863"/>
      <w:bookmarkStart w:id="13" w:name="_Toc473881431"/>
      <w:bookmarkStart w:id="14" w:name="_Toc473891703"/>
      <w:r w:rsidRPr="00091D30">
        <w:t xml:space="preserve">Reuse LTE PHR MAC CE </w:t>
      </w:r>
      <w:r w:rsidR="0080612C" w:rsidRPr="00091D30">
        <w:t>as the baseline for single connectivity</w:t>
      </w:r>
      <w:bookmarkEnd w:id="2"/>
      <w:bookmarkEnd w:id="3"/>
      <w:bookmarkEnd w:id="4"/>
      <w:bookmarkEnd w:id="5"/>
      <w:bookmarkEnd w:id="6"/>
      <w:r w:rsidR="00091D30" w:rsidRPr="00091D30">
        <w:t>.</w:t>
      </w:r>
      <w:bookmarkEnd w:id="7"/>
    </w:p>
    <w:p w14:paraId="67118ECA" w14:textId="1D94E057" w:rsidR="00032E28" w:rsidRPr="00091D30" w:rsidRDefault="00032E28" w:rsidP="00091D30">
      <w:pPr>
        <w:pStyle w:val="Proposal"/>
      </w:pPr>
      <w:bookmarkStart w:id="15" w:name="_Toc489822810"/>
      <w:bookmarkStart w:id="16" w:name="_Toc489822864"/>
      <w:bookmarkStart w:id="17" w:name="_Toc489970232"/>
      <w:bookmarkStart w:id="18" w:name="_Toc489988180"/>
      <w:bookmarkStart w:id="19" w:name="_Toc490048800"/>
      <w:bookmarkStart w:id="20" w:name="_Toc490059824"/>
      <w:bookmarkStart w:id="21" w:name="_Toc490120699"/>
      <w:bookmarkStart w:id="22" w:name="_Toc490217825"/>
      <w:bookmarkEnd w:id="8"/>
      <w:bookmarkEnd w:id="9"/>
      <w:bookmarkEnd w:id="10"/>
      <w:bookmarkEnd w:id="11"/>
      <w:bookmarkEnd w:id="12"/>
      <w:r w:rsidRPr="00091D30">
        <w:t>For extended PHR MAC CE, RAN2 studies if NR shall support both extendedPHR and extendedPHR2</w:t>
      </w:r>
      <w:bookmarkEnd w:id="15"/>
      <w:bookmarkEnd w:id="16"/>
      <w:r w:rsidR="00B7796A" w:rsidRPr="00091D30">
        <w:t xml:space="preserve"> formats</w:t>
      </w:r>
      <w:bookmarkEnd w:id="17"/>
      <w:bookmarkEnd w:id="18"/>
      <w:bookmarkEnd w:id="19"/>
      <w:bookmarkEnd w:id="20"/>
      <w:bookmarkEnd w:id="21"/>
      <w:r w:rsidR="00091D30" w:rsidRPr="00091D30">
        <w:t>.</w:t>
      </w:r>
      <w:bookmarkEnd w:id="22"/>
    </w:p>
    <w:p w14:paraId="43F88646" w14:textId="25E45FA3" w:rsidR="0080612C" w:rsidRPr="00091D30" w:rsidRDefault="0080612C" w:rsidP="00D63061">
      <w:pPr>
        <w:rPr>
          <w:lang w:val="en-US" w:eastAsia="ko-KR"/>
        </w:rPr>
      </w:pPr>
      <w:r w:rsidRPr="00091D30">
        <w:rPr>
          <w:lang w:val="en-US" w:eastAsia="ko-KR"/>
        </w:rPr>
        <w:t>Since the carrier aggregation (CA) and dual connectivity (DC) are in the scope of phase 1 for NR, NR shall reuse PHR MAC CE formats as LTE.</w:t>
      </w:r>
    </w:p>
    <w:p w14:paraId="4CC58346" w14:textId="63F0B0FE" w:rsidR="00996D59" w:rsidRPr="00091D30" w:rsidRDefault="00502A0D" w:rsidP="00B863FE">
      <w:pPr>
        <w:rPr>
          <w:lang w:val="en-US"/>
        </w:rPr>
      </w:pPr>
      <w:r w:rsidRPr="00091D30">
        <w:rPr>
          <w:lang w:val="en-US"/>
        </w:rPr>
        <w:t>For LTE DC, two modes of power control were defined including mode 1 and mode 2. In both modes, the UE is configured with a minimum guaranteed power for each</w:t>
      </w:r>
      <w:r w:rsidR="00B863FE" w:rsidRPr="00091D30">
        <w:rPr>
          <w:lang w:val="en-US"/>
        </w:rPr>
        <w:t xml:space="preserve"> CG</w:t>
      </w:r>
      <w:r w:rsidRPr="00091D30">
        <w:rPr>
          <w:lang w:val="en-US"/>
        </w:rPr>
        <w:t xml:space="preserve">. In mode 1, </w:t>
      </w:r>
      <w:r w:rsidR="00B863FE" w:rsidRPr="00091D30">
        <w:rPr>
          <w:lang w:val="en-US"/>
        </w:rPr>
        <w:t xml:space="preserve">the </w:t>
      </w:r>
      <w:r w:rsidRPr="00091D30">
        <w:rPr>
          <w:lang w:val="en-US"/>
        </w:rPr>
        <w:t xml:space="preserve">UE </w:t>
      </w:r>
      <w:r w:rsidR="00B863FE" w:rsidRPr="00091D30">
        <w:rPr>
          <w:lang w:val="en-US"/>
        </w:rPr>
        <w:t>assigns</w:t>
      </w:r>
      <w:r w:rsidRPr="00091D30">
        <w:rPr>
          <w:lang w:val="en-US"/>
        </w:rPr>
        <w:t xml:space="preserve"> up to the minimum guaranteed power to each CG</w:t>
      </w:r>
      <w:r w:rsidR="00B863FE" w:rsidRPr="00091D30">
        <w:rPr>
          <w:lang w:val="en-US"/>
        </w:rPr>
        <w:t xml:space="preserve">. </w:t>
      </w:r>
      <w:r w:rsidRPr="00091D30">
        <w:rPr>
          <w:lang w:val="en-US"/>
        </w:rPr>
        <w:t xml:space="preserve"> </w:t>
      </w:r>
      <w:r w:rsidR="00B863FE" w:rsidRPr="00091D30">
        <w:rPr>
          <w:lang w:val="en-US"/>
        </w:rPr>
        <w:t>The</w:t>
      </w:r>
      <w:r w:rsidRPr="00091D30">
        <w:rPr>
          <w:lang w:val="en-US"/>
        </w:rPr>
        <w:t xml:space="preserve"> remaining power is shared </w:t>
      </w:r>
      <w:r w:rsidR="00B863FE" w:rsidRPr="00091D30">
        <w:rPr>
          <w:lang w:val="en-US"/>
        </w:rPr>
        <w:t>between CGs</w:t>
      </w:r>
      <w:r w:rsidRPr="00091D30">
        <w:rPr>
          <w:lang w:val="en-US"/>
        </w:rPr>
        <w:t xml:space="preserve"> </w:t>
      </w:r>
      <w:r w:rsidR="00B863FE" w:rsidRPr="00091D30">
        <w:rPr>
          <w:lang w:val="en-US"/>
        </w:rPr>
        <w:t xml:space="preserve">following </w:t>
      </w:r>
      <w:r w:rsidRPr="00091D30">
        <w:rPr>
          <w:lang w:val="en-US"/>
        </w:rPr>
        <w:t xml:space="preserve">a priority </w:t>
      </w:r>
      <w:r w:rsidR="00B863FE" w:rsidRPr="00091D30">
        <w:rPr>
          <w:lang w:val="en-US"/>
        </w:rPr>
        <w:t>of</w:t>
      </w:r>
      <w:r w:rsidRPr="00091D30">
        <w:rPr>
          <w:lang w:val="en-US"/>
        </w:rPr>
        <w:t xml:space="preserve"> Uplink Control Information (UCI) type</w:t>
      </w:r>
      <w:r w:rsidR="00B863FE" w:rsidRPr="00091D30">
        <w:rPr>
          <w:lang w:val="en-US"/>
        </w:rPr>
        <w:t>s</w:t>
      </w:r>
      <w:r w:rsidRPr="00091D30">
        <w:rPr>
          <w:lang w:val="en-US"/>
        </w:rPr>
        <w:t xml:space="preserve">. In mode 2, the UE reserves the minimum guaranteed power </w:t>
      </w:r>
      <w:r w:rsidR="00B863FE" w:rsidRPr="00091D30">
        <w:rPr>
          <w:lang w:val="en-US"/>
        </w:rPr>
        <w:t>for</w:t>
      </w:r>
      <w:r w:rsidRPr="00091D30">
        <w:rPr>
          <w:lang w:val="en-US"/>
        </w:rPr>
        <w:t xml:space="preserve"> each CG</w:t>
      </w:r>
      <w:r w:rsidR="00B863FE" w:rsidRPr="00091D30">
        <w:rPr>
          <w:lang w:val="en-US"/>
        </w:rPr>
        <w:t>. The rest</w:t>
      </w:r>
      <w:r w:rsidRPr="00091D30">
        <w:rPr>
          <w:lang w:val="en-US"/>
        </w:rPr>
        <w:t xml:space="preserve"> power is first </w:t>
      </w:r>
      <w:r w:rsidR="00D822A1" w:rsidRPr="00091D30">
        <w:rPr>
          <w:lang w:val="en-US"/>
        </w:rPr>
        <w:t xml:space="preserve">allocated </w:t>
      </w:r>
      <w:r w:rsidRPr="00091D30">
        <w:rPr>
          <w:lang w:val="en-US"/>
        </w:rPr>
        <w:t xml:space="preserve">to the CG that starts </w:t>
      </w:r>
      <w:r w:rsidR="00D822A1" w:rsidRPr="00091D30">
        <w:rPr>
          <w:lang w:val="en-US"/>
        </w:rPr>
        <w:t>earlier</w:t>
      </w:r>
      <w:r w:rsidRPr="00091D30">
        <w:rPr>
          <w:lang w:val="en-US"/>
        </w:rPr>
        <w:t xml:space="preserve"> in time.</w:t>
      </w:r>
      <w:r w:rsidR="005F4668" w:rsidRPr="00091D30">
        <w:rPr>
          <w:lang w:val="en-US"/>
        </w:rPr>
        <w:t xml:space="preserve"> The PH value is calculated for each serving cell accordingly. </w:t>
      </w:r>
      <w:r w:rsidR="00996D59" w:rsidRPr="00091D30">
        <w:rPr>
          <w:lang w:val="en-US"/>
        </w:rPr>
        <w:t>The calculation of PH is also related to whether the UE supports synchronous DC and asynchronous DC at the same time.</w:t>
      </w:r>
    </w:p>
    <w:p w14:paraId="23C2E8E0" w14:textId="34CAD111" w:rsidR="00996D59" w:rsidRPr="00091D30" w:rsidRDefault="00996D59" w:rsidP="00B863FE">
      <w:pPr>
        <w:rPr>
          <w:lang w:val="en-US"/>
        </w:rPr>
      </w:pPr>
      <w:r w:rsidRPr="00091D30">
        <w:rPr>
          <w:lang w:val="en-US"/>
        </w:rPr>
        <w:t xml:space="preserve">According to latest RAN1 discussions, below agreements have been made </w:t>
      </w:r>
    </w:p>
    <w:p w14:paraId="2896DAC9" w14:textId="77777777" w:rsidR="00996D59" w:rsidRPr="00091D30" w:rsidRDefault="00996D59" w:rsidP="00996D59">
      <w:pPr>
        <w:numPr>
          <w:ilvl w:val="0"/>
          <w:numId w:val="39"/>
        </w:numPr>
        <w:overflowPunct/>
        <w:autoSpaceDE/>
        <w:autoSpaceDN/>
        <w:adjustRightInd/>
        <w:spacing w:after="0"/>
        <w:jc w:val="left"/>
        <w:textAlignment w:val="auto"/>
        <w:rPr>
          <w:rFonts w:eastAsia="MS Mincho"/>
          <w:i/>
          <w:lang w:val="en-US" w:eastAsia="ja-JP"/>
        </w:rPr>
      </w:pPr>
      <w:r w:rsidRPr="00091D30">
        <w:rPr>
          <w:rFonts w:eastAsia="MS Mincho"/>
          <w:i/>
          <w:lang w:val="en-US" w:eastAsia="ja-JP"/>
        </w:rPr>
        <w:t>Regarding power sharing for LTE-NR dual connectivity, support at least semi-static power sharing between LTE and NR</w:t>
      </w:r>
    </w:p>
    <w:p w14:paraId="3E540672" w14:textId="77777777" w:rsidR="00996D59" w:rsidRPr="00091D30" w:rsidRDefault="00996D59" w:rsidP="00996D59">
      <w:pPr>
        <w:numPr>
          <w:ilvl w:val="1"/>
          <w:numId w:val="39"/>
        </w:numPr>
        <w:overflowPunct/>
        <w:autoSpaceDE/>
        <w:autoSpaceDN/>
        <w:adjustRightInd/>
        <w:spacing w:after="0"/>
        <w:jc w:val="left"/>
        <w:textAlignment w:val="auto"/>
        <w:rPr>
          <w:rFonts w:eastAsia="MS Mincho"/>
          <w:i/>
          <w:lang w:val="en-US" w:eastAsia="ja-JP"/>
        </w:rPr>
      </w:pPr>
      <w:r w:rsidRPr="00091D30">
        <w:rPr>
          <w:rFonts w:eastAsia="MS Mincho"/>
          <w:i/>
          <w:lang w:val="en-US" w:eastAsia="ja-JP"/>
        </w:rPr>
        <w:t>FFS details</w:t>
      </w:r>
    </w:p>
    <w:p w14:paraId="09352E66" w14:textId="77777777" w:rsidR="00996D59" w:rsidRPr="00091D30" w:rsidRDefault="00996D59" w:rsidP="00F81DD5">
      <w:pPr>
        <w:numPr>
          <w:ilvl w:val="1"/>
          <w:numId w:val="39"/>
        </w:numPr>
        <w:overflowPunct/>
        <w:autoSpaceDE/>
        <w:autoSpaceDN/>
        <w:adjustRightInd/>
        <w:spacing w:after="0"/>
        <w:jc w:val="left"/>
        <w:textAlignment w:val="auto"/>
        <w:rPr>
          <w:rFonts w:eastAsia="MS Mincho"/>
          <w:i/>
          <w:lang w:val="en-US" w:eastAsia="ja-JP"/>
        </w:rPr>
      </w:pPr>
      <w:r w:rsidRPr="00091D30">
        <w:rPr>
          <w:rFonts w:eastAsia="MS Mincho"/>
          <w:i/>
          <w:lang w:val="en-US" w:eastAsia="ja-JP"/>
        </w:rPr>
        <w:t>Discuss further whether or not to support dynamic power sharing between LTE and NR</w:t>
      </w:r>
    </w:p>
    <w:p w14:paraId="08C96A4E" w14:textId="1129BC9B" w:rsidR="00996D59" w:rsidRPr="00091D30" w:rsidRDefault="00996D59" w:rsidP="00F81DD5">
      <w:pPr>
        <w:numPr>
          <w:ilvl w:val="1"/>
          <w:numId w:val="39"/>
        </w:numPr>
        <w:overflowPunct/>
        <w:autoSpaceDE/>
        <w:autoSpaceDN/>
        <w:adjustRightInd/>
        <w:spacing w:after="0"/>
        <w:jc w:val="left"/>
        <w:textAlignment w:val="auto"/>
        <w:rPr>
          <w:rFonts w:eastAsia="MS Mincho"/>
          <w:i/>
          <w:lang w:val="en-US" w:eastAsia="ja-JP"/>
        </w:rPr>
      </w:pPr>
      <w:r w:rsidRPr="00091D30">
        <w:rPr>
          <w:rFonts w:eastAsia="MS Mincho"/>
          <w:i/>
          <w:lang w:val="en-US" w:eastAsia="ja-JP"/>
        </w:rPr>
        <w:t>Discuss further impacts due to other factors, e.g., different TTI lengths, channel/service types, synchronous vs. asynchronous, different processing latency for LTE vs. NR, assumption regarding communication between NR vs. LTE at UE, specification impact to LTE (if any) and/or NR, etc.</w:t>
      </w:r>
    </w:p>
    <w:p w14:paraId="2B242146" w14:textId="2856CE41" w:rsidR="00996D59" w:rsidRPr="00091D30" w:rsidRDefault="00996D59" w:rsidP="00B863FE">
      <w:pPr>
        <w:rPr>
          <w:rFonts w:eastAsia="MS Mincho"/>
          <w:lang w:val="en-US" w:eastAsia="ja-JP"/>
        </w:rPr>
      </w:pPr>
      <w:r w:rsidRPr="00091D30">
        <w:rPr>
          <w:lang w:val="en-US"/>
        </w:rPr>
        <w:t>The details on power control modes</w:t>
      </w:r>
      <w:r w:rsidR="00FC6B78" w:rsidRPr="00091D30">
        <w:rPr>
          <w:lang w:val="en-US"/>
        </w:rPr>
        <w:t xml:space="preserve"> (for non standalone)</w:t>
      </w:r>
      <w:r w:rsidRPr="00091D30">
        <w:rPr>
          <w:lang w:val="en-US"/>
        </w:rPr>
        <w:t xml:space="preserve"> are still under discussions. Whether to support both</w:t>
      </w:r>
      <w:r w:rsidRPr="00091D30">
        <w:rPr>
          <w:rFonts w:eastAsia="MS Mincho"/>
          <w:lang w:val="en-US" w:eastAsia="ja-JP"/>
        </w:rPr>
        <w:t xml:space="preserve"> synchronous DC and asynchronous DC for a UE is also under discussions. </w:t>
      </w:r>
    </w:p>
    <w:p w14:paraId="57F54C41" w14:textId="70C69BE3" w:rsidR="00996D59" w:rsidRPr="00091D30" w:rsidRDefault="00996D59" w:rsidP="00091D30">
      <w:pPr>
        <w:pStyle w:val="Observation"/>
      </w:pPr>
      <w:bookmarkStart w:id="23" w:name="_Toc489873633"/>
      <w:bookmarkStart w:id="24" w:name="_Toc489988168"/>
      <w:bookmarkStart w:id="25" w:name="_Toc490048808"/>
      <w:bookmarkStart w:id="26" w:name="_Toc490217813"/>
      <w:r w:rsidRPr="00091D30">
        <w:lastRenderedPageBreak/>
        <w:t>Power control details for DC (non standalone) is still under discussion in RAN1</w:t>
      </w:r>
      <w:bookmarkEnd w:id="23"/>
      <w:bookmarkEnd w:id="24"/>
      <w:bookmarkEnd w:id="25"/>
      <w:r w:rsidR="00091D30" w:rsidRPr="00091D30">
        <w:t>.</w:t>
      </w:r>
      <w:bookmarkEnd w:id="26"/>
    </w:p>
    <w:p w14:paraId="1F3A3FEE" w14:textId="02DFB309" w:rsidR="00B863FE" w:rsidRPr="00091D30" w:rsidRDefault="00FC6B78" w:rsidP="00B863FE">
      <w:pPr>
        <w:rPr>
          <w:lang w:val="en-US"/>
        </w:rPr>
      </w:pPr>
      <w:r w:rsidRPr="00091D30">
        <w:rPr>
          <w:lang w:val="en-US"/>
        </w:rPr>
        <w:t xml:space="preserve">Therefore, it is a little hard to decide </w:t>
      </w:r>
      <w:r w:rsidR="00CF5282" w:rsidRPr="00091D30">
        <w:rPr>
          <w:lang w:val="en-US"/>
        </w:rPr>
        <w:t xml:space="preserve">for the moment </w:t>
      </w:r>
      <w:r w:rsidRPr="00091D30">
        <w:rPr>
          <w:lang w:val="en-US"/>
        </w:rPr>
        <w:t xml:space="preserve">whether to fully reuse LTE </w:t>
      </w:r>
      <w:r w:rsidR="00B863FE" w:rsidRPr="00091D30">
        <w:rPr>
          <w:lang w:val="en-US"/>
        </w:rPr>
        <w:t>DC PHR MAC CE</w:t>
      </w:r>
      <w:r w:rsidRPr="00091D30">
        <w:rPr>
          <w:lang w:val="en-US"/>
        </w:rPr>
        <w:t xml:space="preserve"> for NR.</w:t>
      </w:r>
      <w:r w:rsidR="00B863FE" w:rsidRPr="00091D30">
        <w:rPr>
          <w:lang w:val="en-US"/>
        </w:rPr>
        <w:t xml:space="preserve"> </w:t>
      </w:r>
    </w:p>
    <w:p w14:paraId="09BC6F9E" w14:textId="55DE3DA0" w:rsidR="00CF5282" w:rsidRPr="00091D30" w:rsidRDefault="007A0F91" w:rsidP="00091D30">
      <w:pPr>
        <w:pStyle w:val="Proposal"/>
      </w:pPr>
      <w:bookmarkStart w:id="27" w:name="_Toc489970233"/>
      <w:bookmarkStart w:id="28" w:name="_Toc489988181"/>
      <w:bookmarkStart w:id="29" w:name="_Toc490048801"/>
      <w:bookmarkStart w:id="30" w:name="_Toc490059825"/>
      <w:bookmarkStart w:id="31" w:name="_Toc490120700"/>
      <w:bookmarkStart w:id="32" w:name="_Toc490217826"/>
      <w:r w:rsidRPr="00091D30">
        <w:t xml:space="preserve">The format for </w:t>
      </w:r>
      <w:r w:rsidR="00CF5282" w:rsidRPr="00091D30">
        <w:t xml:space="preserve">DC </w:t>
      </w:r>
      <w:r w:rsidRPr="00091D30">
        <w:t xml:space="preserve">PHR </w:t>
      </w:r>
      <w:r w:rsidR="00CF5282" w:rsidRPr="00091D30">
        <w:t>MAC CE is pending RAN1 discussions</w:t>
      </w:r>
      <w:bookmarkEnd w:id="27"/>
      <w:bookmarkEnd w:id="28"/>
      <w:bookmarkEnd w:id="29"/>
      <w:bookmarkEnd w:id="30"/>
      <w:bookmarkEnd w:id="31"/>
      <w:r w:rsidR="00091D30" w:rsidRPr="00091D30">
        <w:t>.</w:t>
      </w:r>
      <w:bookmarkEnd w:id="32"/>
    </w:p>
    <w:p w14:paraId="50CE0764" w14:textId="77777777" w:rsidR="00D63061" w:rsidRPr="00091D30" w:rsidRDefault="00D63061" w:rsidP="00D63061">
      <w:pPr>
        <w:rPr>
          <w:lang w:val="en-US"/>
        </w:rPr>
      </w:pPr>
      <w:r w:rsidRPr="00091D30">
        <w:rPr>
          <w:lang w:val="en-US"/>
        </w:rPr>
        <w:t>In LTE, there are two types of PH are defined for FDD, including Type 1 PH and Type 2 PH. The former considers only PUSCH transmission power. The latter is applied when there is simultaneous transmission of PUCCH and PUSCH. In NR, it has been agreed in RAN1#88bis that</w:t>
      </w:r>
    </w:p>
    <w:p w14:paraId="0AFE5A94" w14:textId="77777777" w:rsidR="00D63061" w:rsidRPr="00091D30" w:rsidRDefault="00D63061" w:rsidP="00D63061">
      <w:pPr>
        <w:pStyle w:val="BodyText"/>
        <w:numPr>
          <w:ilvl w:val="0"/>
          <w:numId w:val="27"/>
        </w:numPr>
        <w:overflowPunct/>
        <w:autoSpaceDE/>
        <w:autoSpaceDN/>
        <w:adjustRightInd/>
        <w:spacing w:after="0"/>
        <w:textAlignment w:val="auto"/>
        <w:rPr>
          <w:i/>
          <w:lang w:val="en-US"/>
        </w:rPr>
      </w:pPr>
      <w:r w:rsidRPr="00091D30">
        <w:rPr>
          <w:i/>
          <w:lang w:val="en-US" w:eastAsia="ja-JP"/>
        </w:rPr>
        <w:t>S</w:t>
      </w:r>
      <w:r w:rsidRPr="00091D30">
        <w:rPr>
          <w:i/>
          <w:lang w:val="en-US"/>
        </w:rPr>
        <w:t>upport ‘simultaneous PUSCH and PUCCH</w:t>
      </w:r>
      <w:r w:rsidRPr="00091D30">
        <w:rPr>
          <w:i/>
          <w:lang w:val="en-US" w:eastAsia="ja-JP"/>
        </w:rPr>
        <w:t xml:space="preserve"> at least for the long PUCCH format</w:t>
      </w:r>
      <w:r w:rsidRPr="00091D30">
        <w:rPr>
          <w:i/>
          <w:lang w:val="en-US"/>
        </w:rPr>
        <w:t>’, i.e. transmit uplink control on PUCCH resources even in presence of data</w:t>
      </w:r>
    </w:p>
    <w:p w14:paraId="5AE58BAC" w14:textId="74D1F0B5" w:rsidR="00D63061" w:rsidRPr="00091D30" w:rsidRDefault="00D63061" w:rsidP="00D63061">
      <w:pPr>
        <w:rPr>
          <w:lang w:val="en-US"/>
        </w:rPr>
      </w:pPr>
      <w:r w:rsidRPr="00091D30">
        <w:rPr>
          <w:lang w:val="en-US"/>
        </w:rPr>
        <w:t xml:space="preserve">Therefore, it is natural that NR shall support both Type 1 PH and Type 2 PH from the very first release. </w:t>
      </w:r>
    </w:p>
    <w:p w14:paraId="350C5786" w14:textId="2A79AB96" w:rsidR="005E45BB" w:rsidRPr="00091D30" w:rsidRDefault="005E45BB" w:rsidP="00D63061">
      <w:pPr>
        <w:rPr>
          <w:lang w:val="en-US"/>
        </w:rPr>
      </w:pPr>
      <w:r w:rsidRPr="00091D30">
        <w:rPr>
          <w:lang w:val="en-US"/>
        </w:rPr>
        <w:t xml:space="preserve">At the same time, for </w:t>
      </w:r>
      <w:r w:rsidR="00502A0D" w:rsidRPr="00091D30">
        <w:rPr>
          <w:lang w:val="en-US"/>
        </w:rPr>
        <w:t xml:space="preserve">a </w:t>
      </w:r>
      <w:r w:rsidRPr="00091D30">
        <w:rPr>
          <w:lang w:val="en-US"/>
        </w:rPr>
        <w:t xml:space="preserve">serving cell with frame structure type 2 (TDD), and not configured for PUSCH/PUCCH transmission, the UE report Type 3 PH report. Since NR supports both FDD and TDD, it is natural for NR to also support Type 3 PH. </w:t>
      </w:r>
    </w:p>
    <w:p w14:paraId="332C3042" w14:textId="19F5990C" w:rsidR="00D63061" w:rsidRPr="00091D30" w:rsidRDefault="005E45BB" w:rsidP="00091D30">
      <w:pPr>
        <w:pStyle w:val="Proposal"/>
      </w:pPr>
      <w:bookmarkStart w:id="33" w:name="_Toc480752283"/>
      <w:bookmarkStart w:id="34" w:name="_Toc487637987"/>
      <w:bookmarkStart w:id="35" w:name="_Toc487639649"/>
      <w:bookmarkStart w:id="36" w:name="_Toc489822811"/>
      <w:bookmarkStart w:id="37" w:name="_Toc489822865"/>
      <w:bookmarkStart w:id="38" w:name="_Toc489970234"/>
      <w:bookmarkStart w:id="39" w:name="_Toc489988182"/>
      <w:bookmarkStart w:id="40" w:name="_Toc490048802"/>
      <w:bookmarkStart w:id="41" w:name="_Toc490059826"/>
      <w:bookmarkStart w:id="42" w:name="_Toc490120701"/>
      <w:bookmarkStart w:id="43" w:name="_Toc490217827"/>
      <w:r w:rsidRPr="00091D30">
        <w:t xml:space="preserve">As like LTE, </w:t>
      </w:r>
      <w:r w:rsidR="00D63061" w:rsidRPr="00091D30">
        <w:t xml:space="preserve">NR supports </w:t>
      </w:r>
      <w:r w:rsidRPr="00091D30">
        <w:t xml:space="preserve">all three types of PH report, including </w:t>
      </w:r>
      <w:r w:rsidR="00D63061" w:rsidRPr="00091D30">
        <w:t>Type 1 PH</w:t>
      </w:r>
      <w:r w:rsidRPr="00091D30">
        <w:t xml:space="preserve">, </w:t>
      </w:r>
      <w:r w:rsidR="00D63061" w:rsidRPr="00091D30">
        <w:t>Type 2 PH</w:t>
      </w:r>
      <w:bookmarkEnd w:id="33"/>
      <w:bookmarkEnd w:id="34"/>
      <w:bookmarkEnd w:id="35"/>
      <w:r w:rsidRPr="00091D30">
        <w:t xml:space="preserve"> and Type 3 PH</w:t>
      </w:r>
      <w:bookmarkEnd w:id="36"/>
      <w:bookmarkEnd w:id="37"/>
      <w:bookmarkEnd w:id="38"/>
      <w:bookmarkEnd w:id="39"/>
      <w:bookmarkEnd w:id="40"/>
      <w:bookmarkEnd w:id="41"/>
      <w:bookmarkEnd w:id="42"/>
      <w:r w:rsidR="00091D30" w:rsidRPr="00091D30">
        <w:t>.</w:t>
      </w:r>
      <w:bookmarkEnd w:id="43"/>
    </w:p>
    <w:p w14:paraId="152C9A7B" w14:textId="0C91FF63" w:rsidR="001F46FF" w:rsidRPr="00091D30" w:rsidRDefault="001F46FF" w:rsidP="001F46FF">
      <w:pPr>
        <w:pStyle w:val="Heading3"/>
        <w:rPr>
          <w:lang w:val="en-US"/>
        </w:rPr>
      </w:pPr>
      <w:r w:rsidRPr="00091D30">
        <w:rPr>
          <w:lang w:val="en-US"/>
        </w:rPr>
        <w:t>Triggers</w:t>
      </w:r>
    </w:p>
    <w:p w14:paraId="7EC76D02" w14:textId="77777777" w:rsidR="001F46FF" w:rsidRPr="00091D30" w:rsidRDefault="001F46FF" w:rsidP="001F46FF">
      <w:pPr>
        <w:rPr>
          <w:lang w:val="en-US" w:eastAsia="ko-KR"/>
        </w:rPr>
      </w:pPr>
      <w:r w:rsidRPr="00091D30">
        <w:rPr>
          <w:lang w:val="en-US" w:eastAsia="ko-KR"/>
        </w:rPr>
        <w:t>In LTE, the following conditions are defined to trigger a Power Headroom Report (PHR):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F46FF" w:rsidRPr="00091D30" w14:paraId="160E9D06" w14:textId="77777777" w:rsidTr="00A06036">
        <w:tc>
          <w:tcPr>
            <w:tcW w:w="9855" w:type="dxa"/>
            <w:shd w:val="clear" w:color="auto" w:fill="auto"/>
          </w:tcPr>
          <w:p w14:paraId="43ADD778" w14:textId="77777777" w:rsidR="001F46FF" w:rsidRPr="00091D30" w:rsidRDefault="001F46FF" w:rsidP="00A06036">
            <w:pPr>
              <w:ind w:left="568" w:hanging="284"/>
              <w:jc w:val="left"/>
              <w:rPr>
                <w:color w:val="000000" w:themeColor="text1"/>
                <w:lang w:val="en-US" w:eastAsia="x-none"/>
              </w:rPr>
            </w:pPr>
            <w:r w:rsidRPr="00091D30">
              <w:rPr>
                <w:color w:val="000000" w:themeColor="text1"/>
                <w:lang w:val="en-US" w:eastAsia="x-none"/>
              </w:rPr>
              <w:t>-</w:t>
            </w:r>
            <w:r w:rsidRPr="00091D30">
              <w:rPr>
                <w:color w:val="000000" w:themeColor="text1"/>
                <w:lang w:val="en-US" w:eastAsia="x-none"/>
              </w:rPr>
              <w:tab/>
            </w:r>
            <w:r w:rsidRPr="00091D30">
              <w:rPr>
                <w:i/>
                <w:color w:val="000000" w:themeColor="text1"/>
                <w:lang w:val="en-US" w:eastAsia="x-none"/>
              </w:rPr>
              <w:t>prohibitPHR-Timer</w:t>
            </w:r>
            <w:r w:rsidRPr="00091D30">
              <w:rPr>
                <w:color w:val="000000" w:themeColor="text1"/>
                <w:lang w:val="en-US" w:eastAsia="x-none"/>
              </w:rPr>
              <w:t xml:space="preserve"> expires or has expired and the path loss has changed more than </w:t>
            </w:r>
            <w:r w:rsidRPr="00091D30">
              <w:rPr>
                <w:i/>
                <w:color w:val="000000" w:themeColor="text1"/>
                <w:lang w:val="en-US" w:eastAsia="x-none"/>
              </w:rPr>
              <w:t>dl-PathlossChange</w:t>
            </w:r>
            <w:r w:rsidRPr="00091D30">
              <w:rPr>
                <w:color w:val="000000" w:themeColor="text1"/>
                <w:lang w:val="en-US" w:eastAsia="x-none"/>
              </w:rPr>
              <w:t xml:space="preserve"> dB for at least one activated Serving Cell of any MAC entity which is used as a pathloss reference since the last transmission of a PHR in this MAC entity when the MAC entity has UL resources for new transmission;</w:t>
            </w:r>
          </w:p>
          <w:p w14:paraId="7F2FE63D" w14:textId="77777777" w:rsidR="001F46FF" w:rsidRPr="00091D30" w:rsidRDefault="001F46FF" w:rsidP="00A06036">
            <w:pPr>
              <w:ind w:left="568" w:hanging="284"/>
              <w:jc w:val="left"/>
              <w:rPr>
                <w:color w:val="000000" w:themeColor="text1"/>
                <w:lang w:val="en-US" w:eastAsia="x-none"/>
              </w:rPr>
            </w:pPr>
            <w:r w:rsidRPr="00091D30">
              <w:rPr>
                <w:color w:val="000000" w:themeColor="text1"/>
                <w:lang w:val="en-US" w:eastAsia="x-none"/>
              </w:rPr>
              <w:t>-</w:t>
            </w:r>
            <w:r w:rsidRPr="00091D30">
              <w:rPr>
                <w:color w:val="000000" w:themeColor="text1"/>
                <w:lang w:val="en-US" w:eastAsia="x-none"/>
              </w:rPr>
              <w:tab/>
            </w:r>
            <w:r w:rsidRPr="00091D30">
              <w:rPr>
                <w:i/>
                <w:color w:val="000000" w:themeColor="text1"/>
                <w:lang w:val="en-US" w:eastAsia="x-none"/>
              </w:rPr>
              <w:t>periodicPHR-Timer</w:t>
            </w:r>
            <w:r w:rsidRPr="00091D30">
              <w:rPr>
                <w:color w:val="000000" w:themeColor="text1"/>
                <w:lang w:val="en-US" w:eastAsia="x-none"/>
              </w:rPr>
              <w:t xml:space="preserve"> expires;</w:t>
            </w:r>
          </w:p>
          <w:p w14:paraId="6BA0B595" w14:textId="45664D53" w:rsidR="001F46FF" w:rsidRPr="00091D30" w:rsidRDefault="001F46FF" w:rsidP="00A06036">
            <w:pPr>
              <w:ind w:left="568" w:hanging="284"/>
              <w:jc w:val="left"/>
              <w:rPr>
                <w:color w:val="000000" w:themeColor="text1"/>
                <w:lang w:val="en-US" w:eastAsia="x-none"/>
              </w:rPr>
            </w:pPr>
            <w:r w:rsidRPr="00091D30">
              <w:rPr>
                <w:color w:val="000000" w:themeColor="text1"/>
                <w:lang w:val="en-US" w:eastAsia="x-none"/>
              </w:rPr>
              <w:t>-</w:t>
            </w:r>
            <w:r w:rsidRPr="00091D30">
              <w:rPr>
                <w:color w:val="000000" w:themeColor="text1"/>
                <w:lang w:val="en-US" w:eastAsia="x-none"/>
              </w:rPr>
              <w:tab/>
              <w:t>upon configuration or reconfiguration of the power headroom reportin</w:t>
            </w:r>
            <w:r w:rsidR="001C2229" w:rsidRPr="00091D30">
              <w:rPr>
                <w:color w:val="000000" w:themeColor="text1"/>
                <w:lang w:val="en-US" w:eastAsia="x-none"/>
              </w:rPr>
              <w:t>g functionality by upper layers</w:t>
            </w:r>
            <w:r w:rsidRPr="00091D30">
              <w:rPr>
                <w:color w:val="000000" w:themeColor="text1"/>
                <w:lang w:val="en-US" w:eastAsia="x-none"/>
              </w:rPr>
              <w:t>, which is not used to disable the function;</w:t>
            </w:r>
          </w:p>
          <w:p w14:paraId="0F63060D" w14:textId="77777777" w:rsidR="001F46FF" w:rsidRPr="00091D30" w:rsidRDefault="001F46FF" w:rsidP="00A06036">
            <w:pPr>
              <w:ind w:left="568" w:hanging="284"/>
              <w:jc w:val="left"/>
              <w:rPr>
                <w:color w:val="000000" w:themeColor="text1"/>
                <w:lang w:val="en-US" w:eastAsia="x-none"/>
              </w:rPr>
            </w:pPr>
            <w:r w:rsidRPr="00091D30">
              <w:rPr>
                <w:color w:val="000000" w:themeColor="text1"/>
                <w:lang w:val="en-US" w:eastAsia="x-none"/>
              </w:rPr>
              <w:t>-</w:t>
            </w:r>
            <w:r w:rsidRPr="00091D30">
              <w:rPr>
                <w:color w:val="000000" w:themeColor="text1"/>
                <w:lang w:val="en-US" w:eastAsia="x-none"/>
              </w:rPr>
              <w:tab/>
              <w:t>activation of an SCell of any MAC entity with configured uplink</w:t>
            </w:r>
            <w:r w:rsidRPr="00091D30">
              <w:rPr>
                <w:color w:val="000000" w:themeColor="text1"/>
                <w:lang w:val="en-US" w:eastAsia="zh-TW"/>
              </w:rPr>
              <w:t>;</w:t>
            </w:r>
          </w:p>
          <w:p w14:paraId="64EBCA02" w14:textId="77777777" w:rsidR="001F46FF" w:rsidRPr="00091D30" w:rsidRDefault="001F46FF" w:rsidP="00A06036">
            <w:pPr>
              <w:ind w:left="568" w:hanging="284"/>
              <w:jc w:val="left"/>
              <w:rPr>
                <w:color w:val="000000" w:themeColor="text1"/>
                <w:lang w:val="en-US" w:eastAsia="x-none"/>
              </w:rPr>
            </w:pPr>
            <w:r w:rsidRPr="00091D30">
              <w:rPr>
                <w:color w:val="000000" w:themeColor="text1"/>
                <w:lang w:val="en-US" w:eastAsia="x-none"/>
              </w:rPr>
              <w:t>-</w:t>
            </w:r>
            <w:r w:rsidRPr="00091D30">
              <w:rPr>
                <w:color w:val="000000" w:themeColor="text1"/>
                <w:lang w:val="en-US" w:eastAsia="x-none"/>
              </w:rPr>
              <w:tab/>
              <w:t>addition of the PSCell</w:t>
            </w:r>
            <w:r w:rsidRPr="00091D30">
              <w:rPr>
                <w:color w:val="000000" w:themeColor="text1"/>
                <w:lang w:val="en-US" w:eastAsia="zh-TW"/>
              </w:rPr>
              <w:t>;</w:t>
            </w:r>
          </w:p>
          <w:p w14:paraId="44B18BCA" w14:textId="77777777" w:rsidR="001F46FF" w:rsidRPr="00091D30" w:rsidRDefault="001F46FF" w:rsidP="00A06036">
            <w:pPr>
              <w:ind w:left="568" w:hanging="284"/>
              <w:jc w:val="left"/>
              <w:rPr>
                <w:color w:val="000000" w:themeColor="text1"/>
                <w:lang w:val="en-US" w:eastAsia="x-none"/>
              </w:rPr>
            </w:pPr>
            <w:r w:rsidRPr="00091D30">
              <w:rPr>
                <w:i/>
                <w:color w:val="000000" w:themeColor="text1"/>
                <w:lang w:val="en-US" w:eastAsia="x-none"/>
              </w:rPr>
              <w:t>-</w:t>
            </w:r>
            <w:r w:rsidRPr="00091D30">
              <w:rPr>
                <w:i/>
                <w:color w:val="000000" w:themeColor="text1"/>
                <w:lang w:val="en-US" w:eastAsia="x-none"/>
              </w:rPr>
              <w:tab/>
              <w:t>prohibitPHR-Timer</w:t>
            </w:r>
            <w:r w:rsidRPr="00091D30">
              <w:rPr>
                <w:color w:val="000000" w:themeColor="text1"/>
                <w:lang w:val="en-US" w:eastAsia="x-none"/>
              </w:rPr>
              <w:t xml:space="preserve"> expires or has expired, when the MAC entity has UL resources for new transmission, and the following is true in this TTI for any of the activated Serving Cells of any MAC entity with configured uplink: </w:t>
            </w:r>
          </w:p>
          <w:p w14:paraId="6A4C8EC9" w14:textId="77777777" w:rsidR="001F46FF" w:rsidRPr="00091D30" w:rsidRDefault="001F46FF" w:rsidP="00A06036">
            <w:pPr>
              <w:ind w:left="851" w:hanging="284"/>
              <w:jc w:val="left"/>
              <w:rPr>
                <w:color w:val="000000" w:themeColor="text1"/>
                <w:lang w:val="en-US" w:eastAsia="ko-KR"/>
              </w:rPr>
            </w:pPr>
            <w:r w:rsidRPr="00091D30">
              <w:rPr>
                <w:color w:val="000000" w:themeColor="text1"/>
                <w:lang w:val="en-US" w:eastAsia="x-none"/>
              </w:rPr>
              <w:t>-</w:t>
            </w:r>
            <w:r w:rsidRPr="00091D30">
              <w:rPr>
                <w:color w:val="000000" w:themeColor="text1"/>
                <w:lang w:val="en-US" w:eastAsia="x-none"/>
              </w:rPr>
              <w:tab/>
              <w:t>there are UL resources allocated for transmission or there is a PUCCH transmission on this cell, and the required power backoff due to power management (as allowed by P-MPR</w:t>
            </w:r>
            <w:r w:rsidRPr="00091D30">
              <w:rPr>
                <w:color w:val="000000" w:themeColor="text1"/>
                <w:vertAlign w:val="subscript"/>
                <w:lang w:val="en-US" w:eastAsia="x-none"/>
              </w:rPr>
              <w:t>c</w:t>
            </w:r>
            <w:r w:rsidRPr="00091D30">
              <w:rPr>
                <w:color w:val="000000" w:themeColor="text1"/>
                <w:lang w:val="en-US" w:eastAsia="x-none"/>
              </w:rPr>
              <w:t xml:space="preserve">) for this cell has changed more than </w:t>
            </w:r>
            <w:r w:rsidRPr="00091D30">
              <w:rPr>
                <w:i/>
                <w:color w:val="000000" w:themeColor="text1"/>
                <w:lang w:val="en-US" w:eastAsia="x-none"/>
              </w:rPr>
              <w:t>dl-PathlossChange</w:t>
            </w:r>
            <w:r w:rsidRPr="00091D30">
              <w:rPr>
                <w:color w:val="000000" w:themeColor="text1"/>
                <w:lang w:val="en-US" w:eastAsia="x-none"/>
              </w:rPr>
              <w:t xml:space="preserve"> dB since the last transmission of a PHR when the MAC entity had UL resources allocated for transmission or PUCCH transmission on this cell.</w:t>
            </w:r>
          </w:p>
        </w:tc>
      </w:tr>
    </w:tbl>
    <w:p w14:paraId="49AAA727" w14:textId="77777777" w:rsidR="001F46FF" w:rsidRPr="00091D30" w:rsidRDefault="001F46FF" w:rsidP="001F46FF">
      <w:pPr>
        <w:rPr>
          <w:lang w:val="en-US" w:eastAsia="ko-KR"/>
        </w:rPr>
      </w:pPr>
      <w:r w:rsidRPr="00091D30">
        <w:rPr>
          <w:lang w:val="en-US" w:eastAsia="ko-KR"/>
        </w:rPr>
        <w:t xml:space="preserve">The above triggering events include DL path loss change, periodic timers and PHR (re)configuration triggering, events in carrier aggregation and dual connectivity. The NR standardization is expected to support at least LTE similar features. Therefore, </w:t>
      </w:r>
    </w:p>
    <w:p w14:paraId="698CDE6F" w14:textId="1E789E80" w:rsidR="00790993" w:rsidRPr="00091D30" w:rsidRDefault="001F46FF" w:rsidP="00091D30">
      <w:pPr>
        <w:pStyle w:val="Proposal"/>
      </w:pPr>
      <w:bookmarkStart w:id="44" w:name="_Toc489822812"/>
      <w:bookmarkStart w:id="45" w:name="_Toc489822866"/>
      <w:bookmarkStart w:id="46" w:name="_Toc489970235"/>
      <w:bookmarkStart w:id="47" w:name="_Toc489988183"/>
      <w:bookmarkStart w:id="48" w:name="_Toc490048803"/>
      <w:bookmarkStart w:id="49" w:name="_Toc490059827"/>
      <w:bookmarkStart w:id="50" w:name="_Toc490120702"/>
      <w:bookmarkStart w:id="51" w:name="_Toc490217828"/>
      <w:bookmarkStart w:id="52" w:name="_Toc487637988"/>
      <w:bookmarkStart w:id="53" w:name="_Toc487639650"/>
      <w:r w:rsidRPr="00091D30">
        <w:t xml:space="preserve">NR supports LTE PHR triggering events as </w:t>
      </w:r>
      <w:r w:rsidR="000A0C4E" w:rsidRPr="00091D30">
        <w:t xml:space="preserve">the </w:t>
      </w:r>
      <w:r w:rsidRPr="00091D30">
        <w:t>baseline</w:t>
      </w:r>
      <w:bookmarkEnd w:id="44"/>
      <w:bookmarkEnd w:id="45"/>
      <w:bookmarkEnd w:id="46"/>
      <w:bookmarkEnd w:id="47"/>
      <w:bookmarkEnd w:id="48"/>
      <w:bookmarkEnd w:id="49"/>
      <w:bookmarkEnd w:id="50"/>
      <w:r w:rsidR="00091D30" w:rsidRPr="00091D30">
        <w:t>.</w:t>
      </w:r>
      <w:bookmarkEnd w:id="51"/>
    </w:p>
    <w:p w14:paraId="68687D64" w14:textId="4DB28EEC" w:rsidR="00790993" w:rsidRPr="00091D30" w:rsidRDefault="00790993" w:rsidP="00F81DD5">
      <w:pPr>
        <w:rPr>
          <w:lang w:val="en-US"/>
        </w:rPr>
      </w:pPr>
      <w:r w:rsidRPr="00091D30">
        <w:rPr>
          <w:lang w:val="en-US"/>
        </w:rPr>
        <w:t xml:space="preserve">In LTE DC, it was discussed if a PHR can be triggered when a handover (i.e., change of MeNB), or a change of SCG. It </w:t>
      </w:r>
      <w:r w:rsidR="0069334B" w:rsidRPr="00091D30">
        <w:rPr>
          <w:lang w:val="en-US"/>
        </w:rPr>
        <w:t xml:space="preserve">is </w:t>
      </w:r>
      <w:r w:rsidR="003C5147" w:rsidRPr="00091D30">
        <w:rPr>
          <w:lang w:val="en-US"/>
        </w:rPr>
        <w:t>evaluable</w:t>
      </w:r>
      <w:r w:rsidRPr="00091D30">
        <w:rPr>
          <w:lang w:val="en-US"/>
        </w:rPr>
        <w:t xml:space="preserve"> to re</w:t>
      </w:r>
      <w:r w:rsidR="0069334B" w:rsidRPr="00091D30">
        <w:rPr>
          <w:lang w:val="en-US"/>
        </w:rPr>
        <w:t>-</w:t>
      </w:r>
      <w:r w:rsidRPr="00091D30">
        <w:rPr>
          <w:lang w:val="en-US"/>
        </w:rPr>
        <w:t>discuss such events for NR.</w:t>
      </w:r>
    </w:p>
    <w:p w14:paraId="32DB50F2" w14:textId="4F0517A9" w:rsidR="001F46FF" w:rsidRPr="00091D30" w:rsidRDefault="00790993" w:rsidP="00091D30">
      <w:pPr>
        <w:pStyle w:val="Proposal"/>
      </w:pPr>
      <w:r w:rsidRPr="00091D30">
        <w:t xml:space="preserve"> </w:t>
      </w:r>
      <w:bookmarkStart w:id="54" w:name="_Toc489988184"/>
      <w:bookmarkStart w:id="55" w:name="_Toc490048804"/>
      <w:bookmarkStart w:id="56" w:name="_Toc490059828"/>
      <w:bookmarkStart w:id="57" w:name="_Toc490120703"/>
      <w:bookmarkStart w:id="58" w:name="_Toc490217829"/>
      <w:r w:rsidR="003C5147" w:rsidRPr="00091D30">
        <w:t>For DC, RAN2 discusses whether the occurrence of a handover or a change of SCG can trigger a PHR</w:t>
      </w:r>
      <w:bookmarkEnd w:id="52"/>
      <w:bookmarkEnd w:id="53"/>
      <w:bookmarkEnd w:id="54"/>
      <w:bookmarkEnd w:id="55"/>
      <w:bookmarkEnd w:id="56"/>
      <w:bookmarkEnd w:id="57"/>
      <w:r w:rsidR="00091D30" w:rsidRPr="00091D30">
        <w:t>.</w:t>
      </w:r>
      <w:bookmarkEnd w:id="58"/>
    </w:p>
    <w:p w14:paraId="7F8606F5" w14:textId="1BE0CA84" w:rsidR="001F46FF" w:rsidRPr="00091D30" w:rsidRDefault="00423707" w:rsidP="00423707">
      <w:pPr>
        <w:pStyle w:val="Heading2"/>
        <w:rPr>
          <w:lang w:val="en-US" w:eastAsia="ko-KR"/>
        </w:rPr>
      </w:pPr>
      <w:r w:rsidRPr="00091D30">
        <w:rPr>
          <w:lang w:val="en-US" w:eastAsia="ko-KR"/>
        </w:rPr>
        <w:t>Further aspects</w:t>
      </w:r>
    </w:p>
    <w:p w14:paraId="6DDDC948" w14:textId="75C0C63C" w:rsidR="00624520" w:rsidRPr="00091D30" w:rsidRDefault="002C51EA" w:rsidP="002C51EA">
      <w:pPr>
        <w:pStyle w:val="Heading3"/>
        <w:rPr>
          <w:lang w:val="en-US" w:eastAsia="ko-KR"/>
        </w:rPr>
      </w:pPr>
      <w:r w:rsidRPr="00091D30">
        <w:rPr>
          <w:lang w:val="en-US" w:eastAsia="ko-KR"/>
        </w:rPr>
        <w:t>PHR with multiple numerologies</w:t>
      </w:r>
    </w:p>
    <w:p w14:paraId="0400D074" w14:textId="49166B1A" w:rsidR="00F95689" w:rsidRPr="00091D30" w:rsidRDefault="001D67C1" w:rsidP="001D67C1">
      <w:pPr>
        <w:rPr>
          <w:lang w:val="en-US"/>
        </w:rPr>
      </w:pPr>
      <w:r w:rsidRPr="00091D30">
        <w:rPr>
          <w:lang w:val="en-US" w:eastAsia="ko-KR"/>
        </w:rPr>
        <w:t>In LTE, an extended PHR may include PHs for multiple active serving cells. This PHR can be transmitted on any one of active serving cell. In NR, each serving cell in CA may be configured with different numerology/TTI duration, this means that a single PHR message may include PHs for multiple serving cells with different numerologies.</w:t>
      </w:r>
      <w:r w:rsidR="00F95689" w:rsidRPr="00091D30">
        <w:rPr>
          <w:lang w:val="en-US" w:eastAsia="ko-KR"/>
        </w:rPr>
        <w:t xml:space="preserve"> Even within the same component carrier, it has </w:t>
      </w:r>
      <w:r w:rsidR="00343386" w:rsidRPr="00091D30">
        <w:rPr>
          <w:lang w:val="en-US" w:eastAsia="ko-KR"/>
        </w:rPr>
        <w:t xml:space="preserve">been </w:t>
      </w:r>
      <w:r w:rsidR="00F95689" w:rsidRPr="00091D30">
        <w:rPr>
          <w:lang w:val="en-US" w:eastAsia="ko-KR"/>
        </w:rPr>
        <w:t xml:space="preserve">agreed in </w:t>
      </w:r>
      <w:r w:rsidR="00F95689" w:rsidRPr="00091D30">
        <w:rPr>
          <w:bCs/>
          <w:lang w:val="en-US"/>
        </w:rPr>
        <w:t xml:space="preserve">#RAN1 </w:t>
      </w:r>
      <w:r w:rsidR="00F95689" w:rsidRPr="00091D30">
        <w:rPr>
          <w:lang w:val="en-US"/>
        </w:rPr>
        <w:t xml:space="preserve">Ad Hoc </w:t>
      </w:r>
      <w:r w:rsidR="00F95689" w:rsidRPr="00091D30">
        <w:rPr>
          <w:lang w:val="en-US"/>
        </w:rPr>
        <w:lastRenderedPageBreak/>
        <w:t xml:space="preserve">held on 27th – 29th June 2017, that different BWPs can be configured, and each BWP is connected to certain numerology. </w:t>
      </w:r>
    </w:p>
    <w:p w14:paraId="7A6486C3" w14:textId="3A0EB5BF" w:rsidR="00060640" w:rsidRPr="00091D30" w:rsidRDefault="00060640" w:rsidP="00060640">
      <w:pPr>
        <w:rPr>
          <w:lang w:val="en-US" w:eastAsia="ko-KR"/>
        </w:rPr>
      </w:pPr>
      <w:r w:rsidRPr="00091D30">
        <w:rPr>
          <w:lang w:val="en-US" w:eastAsia="ko-KR"/>
        </w:rPr>
        <w:t xml:space="preserve">Here we see three </w:t>
      </w:r>
      <w:r w:rsidR="00C324B4" w:rsidRPr="00091D30">
        <w:rPr>
          <w:lang w:val="en-US" w:eastAsia="ko-KR"/>
        </w:rPr>
        <w:t xml:space="preserve">relevant </w:t>
      </w:r>
      <w:r w:rsidRPr="00091D30">
        <w:rPr>
          <w:lang w:val="en-US" w:eastAsia="ko-KR"/>
        </w:rPr>
        <w:t>questions</w:t>
      </w:r>
    </w:p>
    <w:p w14:paraId="7D92CEC3" w14:textId="0A3F34D6" w:rsidR="00060640" w:rsidRPr="00091D30" w:rsidRDefault="00060640" w:rsidP="00060640">
      <w:pPr>
        <w:pStyle w:val="ListParagraph"/>
        <w:numPr>
          <w:ilvl w:val="0"/>
          <w:numId w:val="33"/>
        </w:numPr>
        <w:rPr>
          <w:i/>
          <w:lang w:val="en-US" w:eastAsia="ko-KR"/>
        </w:rPr>
      </w:pPr>
      <w:r w:rsidRPr="00091D30">
        <w:rPr>
          <w:i/>
          <w:lang w:val="en-US" w:eastAsia="ko-KR"/>
        </w:rPr>
        <w:t>For CA, how to report a PHR in case multiple numerologies? i.e., which cell to send a PHR (PHR includes PHs for multiple service cells with different numerologies configured)</w:t>
      </w:r>
    </w:p>
    <w:p w14:paraId="0C86965F" w14:textId="250E8EBC" w:rsidR="00060640" w:rsidRPr="00091D30" w:rsidRDefault="00EB278E" w:rsidP="00060640">
      <w:pPr>
        <w:pStyle w:val="ListParagraph"/>
        <w:numPr>
          <w:ilvl w:val="0"/>
          <w:numId w:val="33"/>
        </w:numPr>
        <w:rPr>
          <w:i/>
          <w:lang w:val="en-US" w:eastAsia="ko-KR"/>
        </w:rPr>
      </w:pPr>
      <w:r w:rsidRPr="00091D30">
        <w:rPr>
          <w:i/>
          <w:lang w:val="en-US" w:eastAsia="ko-KR"/>
        </w:rPr>
        <w:t>I</w:t>
      </w:r>
      <w:r w:rsidR="00060640" w:rsidRPr="00091D30">
        <w:rPr>
          <w:i/>
          <w:lang w:val="en-US" w:eastAsia="ko-KR"/>
        </w:rPr>
        <w:t xml:space="preserve">s it necessary to apply numerology/BWP specific PHR </w:t>
      </w:r>
      <w:r w:rsidR="00502529" w:rsidRPr="00091D30">
        <w:rPr>
          <w:i/>
          <w:lang w:val="en-US" w:eastAsia="ko-KR"/>
        </w:rPr>
        <w:t>configuration</w:t>
      </w:r>
      <w:r w:rsidR="00060640" w:rsidRPr="00091D30">
        <w:rPr>
          <w:i/>
          <w:lang w:val="en-US" w:eastAsia="ko-KR"/>
        </w:rPr>
        <w:t>?</w:t>
      </w:r>
    </w:p>
    <w:p w14:paraId="63275177" w14:textId="64ED0503" w:rsidR="00343386" w:rsidRPr="00091D30" w:rsidRDefault="00343386" w:rsidP="00060640">
      <w:pPr>
        <w:rPr>
          <w:lang w:val="en-US"/>
        </w:rPr>
      </w:pPr>
      <w:r w:rsidRPr="00091D30">
        <w:rPr>
          <w:lang w:val="en-US"/>
        </w:rPr>
        <w:t>How the UE receives grants depend on the way that the gNBs schedule UEs. There may be two cases.</w:t>
      </w:r>
    </w:p>
    <w:p w14:paraId="56971627" w14:textId="6609B5C6" w:rsidR="00343386" w:rsidRPr="00091D30" w:rsidRDefault="00343386" w:rsidP="003F7360">
      <w:pPr>
        <w:pStyle w:val="ListParagraph"/>
        <w:numPr>
          <w:ilvl w:val="0"/>
          <w:numId w:val="42"/>
        </w:numPr>
        <w:rPr>
          <w:lang w:val="en-US"/>
        </w:rPr>
      </w:pPr>
      <w:r w:rsidRPr="00091D30">
        <w:rPr>
          <w:lang w:val="en-US"/>
        </w:rPr>
        <w:t xml:space="preserve">For the case with self-scheduling, i.e., each carrier/numerology/BWP has its own scheduling entity/procedure, the UE receives multiple grants one by one.   </w:t>
      </w:r>
    </w:p>
    <w:p w14:paraId="043CC0FE" w14:textId="4CE65862" w:rsidR="00343386" w:rsidRPr="00091D30" w:rsidRDefault="00343386" w:rsidP="003F7360">
      <w:pPr>
        <w:pStyle w:val="ListParagraph"/>
        <w:numPr>
          <w:ilvl w:val="0"/>
          <w:numId w:val="42"/>
        </w:numPr>
        <w:rPr>
          <w:lang w:val="en-US"/>
        </w:rPr>
      </w:pPr>
      <w:r w:rsidRPr="00091D30">
        <w:rPr>
          <w:lang w:val="en-US"/>
        </w:rPr>
        <w:t xml:space="preserve">For the case with cross-carrier/numerology/BWP scheduling, the UE may receive several grants at the same time. </w:t>
      </w:r>
    </w:p>
    <w:p w14:paraId="7D1241DE" w14:textId="3280AC2C" w:rsidR="00343386" w:rsidRPr="00091D30" w:rsidRDefault="001B1427" w:rsidP="003F7360">
      <w:pPr>
        <w:rPr>
          <w:lang w:val="en-US"/>
        </w:rPr>
      </w:pPr>
      <w:r w:rsidRPr="00091D30">
        <w:rPr>
          <w:lang w:val="en-US"/>
        </w:rPr>
        <w:t>For case</w:t>
      </w:r>
      <w:r w:rsidR="00343386" w:rsidRPr="00091D30">
        <w:rPr>
          <w:lang w:val="en-US"/>
        </w:rPr>
        <w:t xml:space="preserve"> 1), the earliest received grant doesn’t mean the UE will transmit </w:t>
      </w:r>
      <w:r w:rsidR="00271B0E" w:rsidRPr="00091D30">
        <w:rPr>
          <w:lang w:val="en-US"/>
        </w:rPr>
        <w:t xml:space="preserve">with that grant </w:t>
      </w:r>
      <w:r w:rsidR="00343386" w:rsidRPr="00091D30">
        <w:rPr>
          <w:lang w:val="en-US"/>
        </w:rPr>
        <w:t xml:space="preserve">first, due to different SCS, TTI length, processing time of each grant. In LTE, upon a PHR trigger, the UE builds </w:t>
      </w:r>
      <w:r w:rsidR="00271B0E" w:rsidRPr="00091D30">
        <w:rPr>
          <w:lang w:val="en-US"/>
        </w:rPr>
        <w:t xml:space="preserve">a </w:t>
      </w:r>
      <w:r w:rsidR="00343386" w:rsidRPr="00091D30">
        <w:rPr>
          <w:lang w:val="en-US"/>
        </w:rPr>
        <w:t xml:space="preserve">PHR, and transmits it with the earliest grant. </w:t>
      </w:r>
    </w:p>
    <w:p w14:paraId="4075CEE5" w14:textId="18B74C33" w:rsidR="00343386" w:rsidRPr="00091D30" w:rsidRDefault="00343386" w:rsidP="003F7360">
      <w:pPr>
        <w:rPr>
          <w:lang w:val="en-US"/>
        </w:rPr>
      </w:pPr>
      <w:r w:rsidRPr="00091D30">
        <w:rPr>
          <w:lang w:val="en-US"/>
        </w:rPr>
        <w:t xml:space="preserve">For </w:t>
      </w:r>
      <w:r w:rsidR="0069334B" w:rsidRPr="00091D30">
        <w:rPr>
          <w:lang w:val="en-US"/>
        </w:rPr>
        <w:t>case</w:t>
      </w:r>
      <w:r w:rsidRPr="00091D30">
        <w:rPr>
          <w:lang w:val="en-US"/>
        </w:rPr>
        <w:t xml:space="preserve"> 2), the actual transmission time for each grant may be also different due to different SCS, TTI length, processing time associated with each grant, in LTE, it is left to UE implementation to choose which CC/grant to transmit </w:t>
      </w:r>
      <w:r w:rsidR="00E74A2F" w:rsidRPr="00091D30">
        <w:rPr>
          <w:lang w:val="en-US"/>
        </w:rPr>
        <w:t xml:space="preserve">the </w:t>
      </w:r>
      <w:r w:rsidRPr="00091D30">
        <w:rPr>
          <w:lang w:val="en-US"/>
        </w:rPr>
        <w:t xml:space="preserve">PHR. </w:t>
      </w:r>
    </w:p>
    <w:p w14:paraId="05A354A4" w14:textId="200E77DB" w:rsidR="00060640" w:rsidRPr="00091D30" w:rsidRDefault="00E74A2F" w:rsidP="00060640">
      <w:pPr>
        <w:rPr>
          <w:lang w:val="en-US"/>
        </w:rPr>
      </w:pPr>
      <w:r w:rsidRPr="00091D30">
        <w:rPr>
          <w:lang w:val="en-US"/>
        </w:rPr>
        <w:t>For both cases, w</w:t>
      </w:r>
      <w:r w:rsidR="00343386" w:rsidRPr="00091D30">
        <w:rPr>
          <w:lang w:val="en-US"/>
        </w:rPr>
        <w:t xml:space="preserve">e </w:t>
      </w:r>
      <w:r w:rsidR="0069334B" w:rsidRPr="00091D30">
        <w:rPr>
          <w:lang w:val="en-US"/>
        </w:rPr>
        <w:t xml:space="preserve">think </w:t>
      </w:r>
      <w:r w:rsidRPr="00091D30">
        <w:rPr>
          <w:lang w:val="en-US"/>
        </w:rPr>
        <w:t xml:space="preserve">it is sufficient to </w:t>
      </w:r>
      <w:r w:rsidR="00343386" w:rsidRPr="00091D30">
        <w:rPr>
          <w:lang w:val="en-US"/>
        </w:rPr>
        <w:t xml:space="preserve">reuse </w:t>
      </w:r>
      <w:r w:rsidRPr="00091D30">
        <w:rPr>
          <w:lang w:val="en-US"/>
        </w:rPr>
        <w:t>LTE</w:t>
      </w:r>
      <w:r w:rsidR="00343386" w:rsidRPr="00091D30">
        <w:rPr>
          <w:lang w:val="en-US"/>
        </w:rPr>
        <w:t xml:space="preserve"> rule</w:t>
      </w:r>
      <w:r w:rsidRPr="00091D30">
        <w:rPr>
          <w:lang w:val="en-US"/>
        </w:rPr>
        <w:t>s</w:t>
      </w:r>
      <w:r w:rsidR="00091D30" w:rsidRPr="00091D30">
        <w:rPr>
          <w:lang w:val="en-US"/>
        </w:rPr>
        <w:t xml:space="preserve"> as </w:t>
      </w:r>
      <w:r w:rsidR="00343386" w:rsidRPr="00091D30">
        <w:rPr>
          <w:lang w:val="en-US"/>
        </w:rPr>
        <w:t>we don’t think the gNB, scheduler and LA are so sensitive to</w:t>
      </w:r>
      <w:r w:rsidRPr="00091D30">
        <w:rPr>
          <w:lang w:val="en-US"/>
        </w:rPr>
        <w:t xml:space="preserve"> the latency. </w:t>
      </w:r>
      <w:r w:rsidR="00091D30" w:rsidRPr="00091D30">
        <w:rPr>
          <w:lang w:val="en-US"/>
        </w:rPr>
        <w:t>T</w:t>
      </w:r>
      <w:r w:rsidR="00060640" w:rsidRPr="00091D30">
        <w:rPr>
          <w:lang w:val="en-US"/>
        </w:rPr>
        <w:t xml:space="preserve">he network is aware of the numerology which is associated </w:t>
      </w:r>
      <w:r w:rsidR="00A23B77" w:rsidRPr="00091D30">
        <w:rPr>
          <w:lang w:val="en-US"/>
        </w:rPr>
        <w:t>with each serving cell. Upon reception of the PHR, the network can interpret PHR accordingly, i.e., the power headroom situation when PHR is transmitted at the time (beginning of the TTI, that used to transmit PHR) for each serving cell.</w:t>
      </w:r>
      <w:r w:rsidR="00EB278E" w:rsidRPr="00091D30">
        <w:rPr>
          <w:lang w:val="en-US"/>
        </w:rPr>
        <w:t xml:space="preserve"> Therefore, it is sufficient to apply LTE PHR format and trigger in this case.</w:t>
      </w:r>
    </w:p>
    <w:p w14:paraId="4FFD86B0" w14:textId="54AD871E" w:rsidR="00271B0E" w:rsidRPr="00091D30" w:rsidRDefault="00271B0E" w:rsidP="00091D30">
      <w:pPr>
        <w:pStyle w:val="Observation"/>
      </w:pPr>
      <w:bookmarkStart w:id="59" w:name="_Toc490217814"/>
      <w:r w:rsidRPr="00091D30">
        <w:rPr>
          <w:lang w:eastAsia="ko-KR"/>
        </w:rPr>
        <w:t>The support of multiple numerologies/BWPs does not impact PHR format and trigger</w:t>
      </w:r>
      <w:r w:rsidR="00091D30" w:rsidRPr="00091D30">
        <w:rPr>
          <w:lang w:eastAsia="ko-KR"/>
        </w:rPr>
        <w:t>.</w:t>
      </w:r>
      <w:bookmarkEnd w:id="59"/>
    </w:p>
    <w:p w14:paraId="69222EFD" w14:textId="3B546347" w:rsidR="001D67C1" w:rsidRPr="00091D30" w:rsidRDefault="00271B0E" w:rsidP="00091D30">
      <w:pPr>
        <w:pStyle w:val="Proposal"/>
      </w:pPr>
      <w:bookmarkStart w:id="60" w:name="_Toc487637990"/>
      <w:bookmarkStart w:id="61" w:name="_Toc487639652"/>
      <w:bookmarkStart w:id="62" w:name="_Toc489822814"/>
      <w:bookmarkStart w:id="63" w:name="_Toc489822868"/>
      <w:bookmarkStart w:id="64" w:name="_Toc489970237"/>
      <w:bookmarkStart w:id="65" w:name="_Toc489988185"/>
      <w:bookmarkStart w:id="66" w:name="_Toc490048805"/>
      <w:bookmarkStart w:id="67" w:name="_Toc490059829"/>
      <w:bookmarkStart w:id="68" w:name="_Toc490120704"/>
      <w:bookmarkStart w:id="69" w:name="_Toc490217830"/>
      <w:r w:rsidRPr="00091D30">
        <w:t>T</w:t>
      </w:r>
      <w:r w:rsidR="00C548D8" w:rsidRPr="00091D30">
        <w:t xml:space="preserve">he LTE </w:t>
      </w:r>
      <w:r w:rsidRPr="00091D30">
        <w:t xml:space="preserve">extended </w:t>
      </w:r>
      <w:r w:rsidR="00C548D8" w:rsidRPr="00091D30">
        <w:t xml:space="preserve">PHR </w:t>
      </w:r>
      <w:r w:rsidRPr="00091D30">
        <w:t xml:space="preserve">MAC CE </w:t>
      </w:r>
      <w:r w:rsidR="00C548D8" w:rsidRPr="00091D30">
        <w:t>and trigger can be reused</w:t>
      </w:r>
      <w:bookmarkStart w:id="70" w:name="_Toc480752286"/>
      <w:bookmarkEnd w:id="60"/>
      <w:bookmarkEnd w:id="61"/>
      <w:bookmarkEnd w:id="62"/>
      <w:bookmarkEnd w:id="63"/>
      <w:bookmarkEnd w:id="70"/>
      <w:r w:rsidRPr="00091D30">
        <w:t xml:space="preserve"> for </w:t>
      </w:r>
      <w:bookmarkEnd w:id="64"/>
      <w:bookmarkEnd w:id="65"/>
      <w:bookmarkEnd w:id="66"/>
      <w:r w:rsidRPr="00091D30">
        <w:t>a NR UE in CA scenario</w:t>
      </w:r>
      <w:bookmarkEnd w:id="67"/>
      <w:bookmarkEnd w:id="68"/>
      <w:r w:rsidR="00091D30" w:rsidRPr="00091D30">
        <w:t>.</w:t>
      </w:r>
      <w:bookmarkEnd w:id="69"/>
    </w:p>
    <w:p w14:paraId="142F7BA3" w14:textId="4AA327D4" w:rsidR="002C51EA" w:rsidRPr="00091D30" w:rsidRDefault="002C51EA" w:rsidP="002C51EA">
      <w:pPr>
        <w:pStyle w:val="Heading3"/>
        <w:rPr>
          <w:lang w:val="en-US" w:eastAsia="ko-KR"/>
        </w:rPr>
      </w:pPr>
      <w:r w:rsidRPr="00091D30">
        <w:rPr>
          <w:lang w:val="en-US" w:eastAsia="ko-KR"/>
        </w:rPr>
        <w:t xml:space="preserve">PHR with </w:t>
      </w:r>
      <w:r w:rsidR="002F7770" w:rsidRPr="00091D30">
        <w:rPr>
          <w:lang w:val="en-US" w:eastAsia="ko-KR"/>
        </w:rPr>
        <w:t>multiple</w:t>
      </w:r>
      <w:r w:rsidRPr="00091D30">
        <w:rPr>
          <w:lang w:val="en-US" w:eastAsia="ko-KR"/>
        </w:rPr>
        <w:t xml:space="preserve"> waveforms</w:t>
      </w:r>
    </w:p>
    <w:p w14:paraId="4D61CCAA" w14:textId="2F1C212B" w:rsidR="00B553FD" w:rsidRPr="00091D30" w:rsidRDefault="001D67C1" w:rsidP="001D67C1">
      <w:pPr>
        <w:rPr>
          <w:rFonts w:eastAsia="MS Mincho"/>
          <w:lang w:val="en-US"/>
        </w:rPr>
      </w:pPr>
      <w:r w:rsidRPr="00091D30">
        <w:rPr>
          <w:lang w:val="en-US"/>
        </w:rPr>
        <w:t xml:space="preserve">According to RAN1 agreements, </w:t>
      </w:r>
      <w:r w:rsidR="00625645" w:rsidRPr="00091D30">
        <w:rPr>
          <w:lang w:val="en-US"/>
        </w:rPr>
        <w:t>a</w:t>
      </w:r>
      <w:r w:rsidRPr="00091D30">
        <w:rPr>
          <w:lang w:val="en-US"/>
        </w:rPr>
        <w:t xml:space="preserve"> UE can be configured for both DFT-S-OFDM and CP-OFDM waveform</w:t>
      </w:r>
      <w:r w:rsidR="005D7AFD" w:rsidRPr="00091D30">
        <w:rPr>
          <w:lang w:val="en-US"/>
        </w:rPr>
        <w:t>s</w:t>
      </w:r>
      <w:r w:rsidR="00710464" w:rsidRPr="00091D30">
        <w:rPr>
          <w:lang w:val="en-US"/>
        </w:rPr>
        <w:t xml:space="preserve">. The </w:t>
      </w:r>
      <w:r w:rsidR="00710464" w:rsidRPr="00091D30">
        <w:rPr>
          <w:rFonts w:eastAsia="MS Mincho"/>
          <w:lang w:val="en-US"/>
        </w:rPr>
        <w:t xml:space="preserve">gNB is aware of the power headroom differences for different waveforms. </w:t>
      </w:r>
      <w:r w:rsidR="002F7770" w:rsidRPr="00091D30">
        <w:rPr>
          <w:rFonts w:eastAsia="MS Mincho"/>
          <w:lang w:val="en-US"/>
        </w:rPr>
        <w:t>Therefore, it is enough to base on LTE PHR MAC CEs</w:t>
      </w:r>
      <w:r w:rsidR="00B553FD" w:rsidRPr="00091D30">
        <w:rPr>
          <w:rFonts w:eastAsia="MS Mincho"/>
          <w:lang w:val="en-US"/>
        </w:rPr>
        <w:t xml:space="preserve"> to transmit PHR. </w:t>
      </w:r>
      <w:r w:rsidR="00312D17" w:rsidRPr="00091D30">
        <w:rPr>
          <w:rFonts w:eastAsia="MS Mincho"/>
          <w:lang w:val="en-US"/>
        </w:rPr>
        <w:t xml:space="preserve">Upon reception of a PHR, the network interprets the PHR </w:t>
      </w:r>
      <w:r w:rsidR="00C775F6" w:rsidRPr="00091D30">
        <w:rPr>
          <w:rFonts w:eastAsia="MS Mincho"/>
          <w:lang w:val="en-US"/>
        </w:rPr>
        <w:t>according to</w:t>
      </w:r>
      <w:r w:rsidR="00312D17" w:rsidRPr="00091D30">
        <w:rPr>
          <w:rFonts w:eastAsia="MS Mincho"/>
          <w:lang w:val="en-US"/>
        </w:rPr>
        <w:t xml:space="preserve"> what waveform the UE was using when that PHR was sent. </w:t>
      </w:r>
      <w:r w:rsidR="00B553FD" w:rsidRPr="00091D30">
        <w:rPr>
          <w:rFonts w:eastAsia="MS Mincho"/>
          <w:lang w:val="en-US"/>
        </w:rPr>
        <w:t>We don’t foresee any change on PHR format</w:t>
      </w:r>
      <w:r w:rsidR="00312D17" w:rsidRPr="00091D30">
        <w:rPr>
          <w:rFonts w:eastAsia="MS Mincho"/>
          <w:lang w:val="en-US"/>
        </w:rPr>
        <w:t xml:space="preserve"> and trigger</w:t>
      </w:r>
      <w:r w:rsidR="00B553FD" w:rsidRPr="00091D30">
        <w:rPr>
          <w:rFonts w:eastAsia="MS Mincho"/>
          <w:lang w:val="en-US"/>
        </w:rPr>
        <w:t xml:space="preserve"> in this case. </w:t>
      </w:r>
    </w:p>
    <w:p w14:paraId="34BE6DC6" w14:textId="49D5F0AD" w:rsidR="002449C0" w:rsidRPr="00091D30" w:rsidRDefault="002449C0" w:rsidP="00091D30">
      <w:pPr>
        <w:pStyle w:val="Proposal"/>
      </w:pPr>
      <w:bookmarkStart w:id="71" w:name="_Toc487637991"/>
      <w:bookmarkStart w:id="72" w:name="_Toc487639653"/>
      <w:bookmarkStart w:id="73" w:name="_Toc489822815"/>
      <w:bookmarkStart w:id="74" w:name="_Toc489822869"/>
      <w:bookmarkStart w:id="75" w:name="_Toc489970238"/>
      <w:bookmarkStart w:id="76" w:name="_Toc489988186"/>
      <w:bookmarkStart w:id="77" w:name="_Toc490048806"/>
      <w:bookmarkStart w:id="78" w:name="_Toc490059830"/>
      <w:bookmarkStart w:id="79" w:name="_Toc490120705"/>
      <w:bookmarkStart w:id="80" w:name="_Toc490217831"/>
      <w:r w:rsidRPr="00091D30">
        <w:t xml:space="preserve">No need to update PHR format </w:t>
      </w:r>
      <w:r w:rsidR="00312D17" w:rsidRPr="00091D30">
        <w:t xml:space="preserve">and trigger </w:t>
      </w:r>
      <w:r w:rsidRPr="00091D30">
        <w:t>with respect to the change of uplink waveform</w:t>
      </w:r>
      <w:bookmarkEnd w:id="71"/>
      <w:bookmarkEnd w:id="72"/>
      <w:bookmarkEnd w:id="73"/>
      <w:bookmarkEnd w:id="74"/>
      <w:bookmarkEnd w:id="75"/>
      <w:bookmarkEnd w:id="76"/>
      <w:bookmarkEnd w:id="77"/>
      <w:bookmarkEnd w:id="78"/>
      <w:bookmarkEnd w:id="79"/>
      <w:r w:rsidR="00091D30" w:rsidRPr="00091D30">
        <w:t>.</w:t>
      </w:r>
      <w:bookmarkEnd w:id="80"/>
    </w:p>
    <w:p w14:paraId="430B1209" w14:textId="54786938" w:rsidR="001D67C1" w:rsidRPr="00091D30" w:rsidRDefault="00885347" w:rsidP="00885347">
      <w:pPr>
        <w:pStyle w:val="Heading3"/>
        <w:rPr>
          <w:lang w:val="en-US" w:eastAsia="ko-KR"/>
        </w:rPr>
      </w:pPr>
      <w:r w:rsidRPr="00091D30">
        <w:rPr>
          <w:lang w:val="en-US" w:eastAsia="ko-KR"/>
        </w:rPr>
        <w:t>PHR with beam switch</w:t>
      </w:r>
    </w:p>
    <w:p w14:paraId="4C5D4AA5" w14:textId="12C4AE96" w:rsidR="00113BB3" w:rsidRPr="00091D30" w:rsidRDefault="00D63061" w:rsidP="00F81DD5">
      <w:pPr>
        <w:rPr>
          <w:rFonts w:eastAsia="Malgun Gothic"/>
          <w:lang w:val="en-US"/>
        </w:rPr>
      </w:pPr>
      <w:r w:rsidRPr="00091D30">
        <w:rPr>
          <w:rFonts w:eastAsia="Calibri Light"/>
          <w:lang w:val="en-US"/>
        </w:rPr>
        <w:t>A UE may be connected to multi-beams for enhanced bit rate or improved transmission reliability.</w:t>
      </w:r>
      <w:r w:rsidR="002B0239" w:rsidRPr="00091D30">
        <w:rPr>
          <w:rFonts w:eastAsia="Calibri Light"/>
          <w:lang w:val="en-US"/>
        </w:rPr>
        <w:t xml:space="preserve"> </w:t>
      </w:r>
      <w:r w:rsidR="00113BB3" w:rsidRPr="00091D30">
        <w:rPr>
          <w:rFonts w:eastAsia="Malgun Gothic"/>
          <w:lang w:val="en-US"/>
        </w:rPr>
        <w:t xml:space="preserve">RAN1 has already agreed that NR supports </w:t>
      </w:r>
      <w:r w:rsidR="00113BB3" w:rsidRPr="00091D30">
        <w:rPr>
          <w:rFonts w:eastAsia="MS Mincho"/>
          <w:lang w:val="en-US"/>
        </w:rPr>
        <w:t xml:space="preserve">beam specific power control. </w:t>
      </w:r>
      <w:r w:rsidR="006F2537" w:rsidRPr="00091D30">
        <w:rPr>
          <w:rFonts w:eastAsia="MS Mincho"/>
          <w:lang w:val="en-US"/>
        </w:rPr>
        <w:t>The exact details on what this means are yet to be agreed upon but it is clear that it at least implies that the UE will maintain one path loss estimation per beam and it will be up to the gNB, or alternatively gNB and UE jointly, to define the set o</w:t>
      </w:r>
      <w:r w:rsidR="00091D30" w:rsidRPr="00091D30">
        <w:rPr>
          <w:rFonts w:eastAsia="MS Mincho"/>
          <w:lang w:val="en-US"/>
        </w:rPr>
        <w:t>f</w:t>
      </w:r>
      <w:r w:rsidR="006F2537" w:rsidRPr="00091D30">
        <w:rPr>
          <w:rFonts w:eastAsia="MS Mincho"/>
          <w:lang w:val="en-US"/>
        </w:rPr>
        <w:t xml:space="preserve"> monitored beams. </w:t>
      </w:r>
      <w:r w:rsidR="00113BB3" w:rsidRPr="00091D30">
        <w:rPr>
          <w:rFonts w:eastAsia="MS Mincho"/>
          <w:lang w:val="en-US"/>
        </w:rPr>
        <w:t xml:space="preserve">The network </w:t>
      </w:r>
      <w:r w:rsidR="006F2537" w:rsidRPr="00091D30">
        <w:rPr>
          <w:rFonts w:eastAsia="MS Mincho"/>
          <w:lang w:val="en-US"/>
        </w:rPr>
        <w:t xml:space="preserve">will use one of these beams for PUSCH transmission and it will also </w:t>
      </w:r>
      <w:r w:rsidR="00113BB3" w:rsidRPr="00091D30">
        <w:rPr>
          <w:rFonts w:eastAsia="MS Mincho"/>
          <w:lang w:val="en-US"/>
        </w:rPr>
        <w:t xml:space="preserve">decide when to change </w:t>
      </w:r>
      <w:r w:rsidR="006F2537" w:rsidRPr="00091D30">
        <w:rPr>
          <w:rFonts w:eastAsia="MS Mincho"/>
          <w:lang w:val="en-US"/>
        </w:rPr>
        <w:t xml:space="preserve">to another beam </w:t>
      </w:r>
      <w:r w:rsidR="00113BB3" w:rsidRPr="00091D30">
        <w:rPr>
          <w:rFonts w:eastAsia="MS Mincho"/>
          <w:lang w:val="en-US"/>
        </w:rPr>
        <w:t xml:space="preserve">upon reception of UE measurements. </w:t>
      </w:r>
    </w:p>
    <w:p w14:paraId="70E54EB8" w14:textId="6F228ED1" w:rsidR="007F44B6" w:rsidRPr="00091D30" w:rsidRDefault="007F44B6" w:rsidP="00F81DD5">
      <w:pPr>
        <w:rPr>
          <w:lang w:val="en-US"/>
        </w:rPr>
      </w:pPr>
      <w:r w:rsidRPr="00091D30">
        <w:rPr>
          <w:rFonts w:eastAsia="Malgun Gothic"/>
          <w:lang w:val="en-US"/>
        </w:rPr>
        <w:t xml:space="preserve">We see </w:t>
      </w:r>
      <w:r w:rsidRPr="00091D30">
        <w:rPr>
          <w:lang w:val="en-US"/>
        </w:rPr>
        <w:t xml:space="preserve">there are two </w:t>
      </w:r>
      <w:r w:rsidR="00C65EAE" w:rsidRPr="00091D30">
        <w:rPr>
          <w:lang w:val="en-US"/>
        </w:rPr>
        <w:t>options</w:t>
      </w:r>
      <w:r w:rsidRPr="00091D30">
        <w:rPr>
          <w:lang w:val="en-US"/>
        </w:rPr>
        <w:t xml:space="preserve"> for PHR report with </w:t>
      </w:r>
      <w:r w:rsidRPr="00091D30">
        <w:rPr>
          <w:rFonts w:eastAsia="MS Mincho"/>
          <w:lang w:val="en-US"/>
        </w:rPr>
        <w:t xml:space="preserve">respect to </w:t>
      </w:r>
      <w:r w:rsidR="006F2537" w:rsidRPr="00091D30">
        <w:rPr>
          <w:rFonts w:eastAsia="MS Mincho"/>
          <w:lang w:val="en-US"/>
        </w:rPr>
        <w:t>beam specific power control:</w:t>
      </w:r>
      <w:r w:rsidRPr="00091D30">
        <w:rPr>
          <w:lang w:val="en-US"/>
        </w:rPr>
        <w:t xml:space="preserve"> </w:t>
      </w:r>
    </w:p>
    <w:p w14:paraId="2809E3A7" w14:textId="465D34FC" w:rsidR="007F44B6" w:rsidRPr="00091D30" w:rsidRDefault="00C65EAE" w:rsidP="00F81DD5">
      <w:pPr>
        <w:rPr>
          <w:lang w:val="en-US"/>
        </w:rPr>
      </w:pPr>
      <w:r w:rsidRPr="00091D30">
        <w:rPr>
          <w:lang w:val="en-US"/>
        </w:rPr>
        <w:t>Option 1</w:t>
      </w:r>
      <w:r w:rsidR="007F44B6" w:rsidRPr="00091D30">
        <w:rPr>
          <w:lang w:val="en-US"/>
        </w:rPr>
        <w:t xml:space="preserve">: </w:t>
      </w:r>
      <w:r w:rsidRPr="00091D30">
        <w:rPr>
          <w:lang w:val="en-US"/>
        </w:rPr>
        <w:t xml:space="preserve">the UE reports a PHR </w:t>
      </w:r>
      <w:r w:rsidR="007F44B6" w:rsidRPr="00091D30">
        <w:rPr>
          <w:lang w:val="en-US"/>
        </w:rPr>
        <w:t>per beam</w:t>
      </w:r>
    </w:p>
    <w:p w14:paraId="1E6F4C6C" w14:textId="1BCDD88C" w:rsidR="007F44B6" w:rsidRPr="00091D30" w:rsidRDefault="0000218D" w:rsidP="00F81DD5">
      <w:pPr>
        <w:rPr>
          <w:lang w:val="en-US"/>
        </w:rPr>
      </w:pPr>
      <w:r w:rsidRPr="00091D30">
        <w:rPr>
          <w:lang w:val="en-US"/>
        </w:rPr>
        <w:t xml:space="preserve">Option 2: </w:t>
      </w:r>
      <w:r w:rsidR="00106A39" w:rsidRPr="00091D30">
        <w:rPr>
          <w:lang w:val="en-US"/>
        </w:rPr>
        <w:t xml:space="preserve">the UE only </w:t>
      </w:r>
      <w:r w:rsidR="007F44B6" w:rsidRPr="00091D30">
        <w:rPr>
          <w:lang w:val="en-US"/>
        </w:rPr>
        <w:t>report</w:t>
      </w:r>
      <w:r w:rsidR="00106A39" w:rsidRPr="00091D30">
        <w:rPr>
          <w:lang w:val="en-US"/>
        </w:rPr>
        <w:t>s PHR</w:t>
      </w:r>
      <w:r w:rsidR="007F44B6" w:rsidRPr="00091D30">
        <w:rPr>
          <w:lang w:val="en-US"/>
        </w:rPr>
        <w:t xml:space="preserve"> for the beam</w:t>
      </w:r>
      <w:r w:rsidR="006F2537" w:rsidRPr="00091D30">
        <w:rPr>
          <w:lang w:val="en-US"/>
        </w:rPr>
        <w:t xml:space="preserve"> used for PUSCH transmission</w:t>
      </w:r>
    </w:p>
    <w:p w14:paraId="481F9F72" w14:textId="20C4AFE1" w:rsidR="00C775F6" w:rsidRPr="00091D30" w:rsidRDefault="000B2225" w:rsidP="00F81DD5">
      <w:pPr>
        <w:rPr>
          <w:lang w:val="en-US"/>
        </w:rPr>
      </w:pPr>
      <w:r w:rsidRPr="00091D30">
        <w:rPr>
          <w:lang w:val="en-US"/>
        </w:rPr>
        <w:t xml:space="preserve">In Option 1, the UE would report PHRs for every beam although </w:t>
      </w:r>
      <w:r w:rsidR="006F2537" w:rsidRPr="00091D30">
        <w:rPr>
          <w:lang w:val="en-US"/>
        </w:rPr>
        <w:t>including also those</w:t>
      </w:r>
      <w:r w:rsidRPr="00091D30">
        <w:rPr>
          <w:lang w:val="en-US"/>
        </w:rPr>
        <w:t xml:space="preserve"> </w:t>
      </w:r>
      <w:r w:rsidR="006F2537" w:rsidRPr="00091D30">
        <w:rPr>
          <w:lang w:val="en-US"/>
        </w:rPr>
        <w:t xml:space="preserve">currently </w:t>
      </w:r>
      <w:r w:rsidRPr="00091D30">
        <w:rPr>
          <w:lang w:val="en-US"/>
        </w:rPr>
        <w:t xml:space="preserve">not used for </w:t>
      </w:r>
      <w:r w:rsidR="006F2537" w:rsidRPr="00091D30">
        <w:rPr>
          <w:lang w:val="en-US"/>
        </w:rPr>
        <w:t xml:space="preserve">PUSCH </w:t>
      </w:r>
      <w:r w:rsidRPr="00091D30">
        <w:rPr>
          <w:lang w:val="en-US"/>
        </w:rPr>
        <w:t xml:space="preserve">transmission. The network then </w:t>
      </w:r>
      <w:r w:rsidR="006F2537" w:rsidRPr="00091D30">
        <w:rPr>
          <w:lang w:val="en-US"/>
        </w:rPr>
        <w:t xml:space="preserve">would hence obtain </w:t>
      </w:r>
      <w:r w:rsidRPr="00091D30">
        <w:rPr>
          <w:lang w:val="en-US"/>
        </w:rPr>
        <w:t xml:space="preserve">more information </w:t>
      </w:r>
      <w:r w:rsidR="00091D30">
        <w:rPr>
          <w:lang w:val="en-US"/>
        </w:rPr>
        <w:t>f</w:t>
      </w:r>
      <w:r w:rsidR="006F2537" w:rsidRPr="00091D30">
        <w:rPr>
          <w:lang w:val="en-US"/>
        </w:rPr>
        <w:t>r</w:t>
      </w:r>
      <w:r w:rsidR="00091D30">
        <w:rPr>
          <w:lang w:val="en-US"/>
        </w:rPr>
        <w:t>o</w:t>
      </w:r>
      <w:r w:rsidR="006F2537" w:rsidRPr="00091D30">
        <w:rPr>
          <w:lang w:val="en-US"/>
        </w:rPr>
        <w:t>m</w:t>
      </w:r>
      <w:r w:rsidRPr="00091D30">
        <w:rPr>
          <w:lang w:val="en-US"/>
        </w:rPr>
        <w:t xml:space="preserve"> PHR than that with Option 2. However, this additional information </w:t>
      </w:r>
      <w:r w:rsidR="006F2537" w:rsidRPr="00091D30">
        <w:rPr>
          <w:lang w:val="en-US"/>
        </w:rPr>
        <w:t>from</w:t>
      </w:r>
      <w:r w:rsidRPr="00091D30">
        <w:rPr>
          <w:lang w:val="en-US"/>
        </w:rPr>
        <w:t xml:space="preserve"> </w:t>
      </w:r>
      <w:r w:rsidR="006F2537" w:rsidRPr="00091D30">
        <w:rPr>
          <w:lang w:val="en-US"/>
        </w:rPr>
        <w:t xml:space="preserve">non-used </w:t>
      </w:r>
      <w:r w:rsidRPr="00091D30">
        <w:rPr>
          <w:lang w:val="en-US"/>
        </w:rPr>
        <w:t xml:space="preserve">beams may be </w:t>
      </w:r>
      <w:r w:rsidR="006F2537" w:rsidRPr="00091D30">
        <w:rPr>
          <w:lang w:val="en-US"/>
        </w:rPr>
        <w:t xml:space="preserve">of limited </w:t>
      </w:r>
      <w:r w:rsidRPr="00091D30">
        <w:rPr>
          <w:lang w:val="en-US"/>
        </w:rPr>
        <w:t>use</w:t>
      </w:r>
      <w:r w:rsidR="006F2537" w:rsidRPr="00091D30">
        <w:rPr>
          <w:lang w:val="en-US"/>
        </w:rPr>
        <w:t xml:space="preserve"> </w:t>
      </w:r>
      <w:r w:rsidRPr="00091D30">
        <w:rPr>
          <w:lang w:val="en-US"/>
        </w:rPr>
        <w:t xml:space="preserve">since </w:t>
      </w:r>
      <w:r w:rsidR="006F2537" w:rsidRPr="00091D30">
        <w:rPr>
          <w:lang w:val="en-US"/>
        </w:rPr>
        <w:t>the main purpose of PHR is to adopt the link adaptation for PUSCH transmission</w:t>
      </w:r>
      <w:r w:rsidRPr="00091D30">
        <w:rPr>
          <w:lang w:val="en-US"/>
        </w:rPr>
        <w:t>. At the same time, Option 1 may lead to unnecessary PHR overhead</w:t>
      </w:r>
      <w:r w:rsidR="00FD648C" w:rsidRPr="00091D30">
        <w:rPr>
          <w:lang w:val="en-US"/>
        </w:rPr>
        <w:t xml:space="preserve"> and require changes to the PHR format</w:t>
      </w:r>
      <w:r w:rsidRPr="00091D30">
        <w:rPr>
          <w:lang w:val="en-US"/>
        </w:rPr>
        <w:t xml:space="preserve">. </w:t>
      </w:r>
      <w:r w:rsidR="00097305" w:rsidRPr="00091D30">
        <w:rPr>
          <w:lang w:val="en-US"/>
        </w:rPr>
        <w:t>O</w:t>
      </w:r>
      <w:r w:rsidR="00523C21" w:rsidRPr="00091D30">
        <w:rPr>
          <w:lang w:val="en-US"/>
        </w:rPr>
        <w:t xml:space="preserve">ption 2 </w:t>
      </w:r>
      <w:r w:rsidR="00097305" w:rsidRPr="00091D30">
        <w:rPr>
          <w:lang w:val="en-US"/>
        </w:rPr>
        <w:t xml:space="preserve">would on the other hand generate relevant PHR reports and we therefore find it </w:t>
      </w:r>
      <w:r w:rsidR="00523C21" w:rsidRPr="00091D30">
        <w:rPr>
          <w:lang w:val="en-US"/>
        </w:rPr>
        <w:t xml:space="preserve">more reasonable. </w:t>
      </w:r>
      <w:r w:rsidR="00FD648C" w:rsidRPr="00091D30">
        <w:rPr>
          <w:lang w:val="en-US"/>
        </w:rPr>
        <w:t xml:space="preserve">It can use the same LTE PHR </w:t>
      </w:r>
      <w:r w:rsidR="00FD648C" w:rsidRPr="00091D30">
        <w:rPr>
          <w:lang w:val="en-US"/>
        </w:rPr>
        <w:lastRenderedPageBreak/>
        <w:t xml:space="preserve">format and trigger. </w:t>
      </w:r>
      <w:r w:rsidR="00C775F6" w:rsidRPr="00091D30">
        <w:rPr>
          <w:lang w:val="en-US"/>
        </w:rPr>
        <w:t xml:space="preserve">The </w:t>
      </w:r>
      <w:r w:rsidR="00C775F6" w:rsidRPr="00091D30">
        <w:rPr>
          <w:rFonts w:eastAsia="MS Mincho"/>
          <w:lang w:val="en-US"/>
        </w:rPr>
        <w:t>gNB is aware of the serving beam that the UE uses at the TTI when the PHR was sent. Upon reception of a PHR, the gNB interprets the power headroom information for the associated beam.</w:t>
      </w:r>
    </w:p>
    <w:p w14:paraId="11360292" w14:textId="1135A8FD" w:rsidR="001C2B35" w:rsidRPr="00091D30" w:rsidRDefault="001C2B35" w:rsidP="001C2B35">
      <w:pPr>
        <w:rPr>
          <w:lang w:val="en-US"/>
        </w:rPr>
      </w:pPr>
      <w:r w:rsidRPr="00091D30">
        <w:rPr>
          <w:rFonts w:eastAsia="Calibri Light"/>
          <w:lang w:val="en-US"/>
        </w:rPr>
        <w:t>For</w:t>
      </w:r>
      <w:r w:rsidRPr="00091D30">
        <w:rPr>
          <w:rFonts w:eastAsia="Malgun Gothic"/>
          <w:lang w:val="en-US"/>
        </w:rPr>
        <w:t xml:space="preserve"> beamforming-based transmissions, the pathloss may experience a sudden fluctuation due to frequent blockage as well as the change of serving beam. </w:t>
      </w:r>
      <w:r w:rsidR="00097305" w:rsidRPr="00091D30">
        <w:rPr>
          <w:rFonts w:eastAsia="Malgun Gothic"/>
          <w:lang w:val="en-US"/>
        </w:rPr>
        <w:t>For Option 2 such a situation would imply</w:t>
      </w:r>
      <w:r w:rsidRPr="00091D30">
        <w:rPr>
          <w:lang w:val="en-US"/>
        </w:rPr>
        <w:t xml:space="preserve">, in the case of a beam switch, </w:t>
      </w:r>
      <w:r w:rsidR="00097305" w:rsidRPr="00091D30">
        <w:rPr>
          <w:lang w:val="en-US"/>
        </w:rPr>
        <w:t xml:space="preserve">that </w:t>
      </w:r>
      <w:r w:rsidRPr="00091D30">
        <w:rPr>
          <w:lang w:val="en-US"/>
        </w:rPr>
        <w:t>the</w:t>
      </w:r>
      <w:r w:rsidR="00097305" w:rsidRPr="00091D30">
        <w:rPr>
          <w:lang w:val="en-US"/>
        </w:rPr>
        <w:t xml:space="preserve"> UE</w:t>
      </w:r>
      <w:r w:rsidRPr="00091D30">
        <w:rPr>
          <w:lang w:val="en-US"/>
        </w:rPr>
        <w:t xml:space="preserve"> measure</w:t>
      </w:r>
      <w:r w:rsidR="00097305" w:rsidRPr="00091D30">
        <w:rPr>
          <w:lang w:val="en-US"/>
        </w:rPr>
        <w:t>s</w:t>
      </w:r>
      <w:r w:rsidRPr="00091D30">
        <w:rPr>
          <w:lang w:val="en-US"/>
        </w:rPr>
        <w:t xml:space="preserve"> on </w:t>
      </w:r>
      <w:r w:rsidR="00097305" w:rsidRPr="00091D30">
        <w:rPr>
          <w:lang w:val="en-US"/>
        </w:rPr>
        <w:t xml:space="preserve">the </w:t>
      </w:r>
      <w:r w:rsidRPr="00091D30">
        <w:rPr>
          <w:lang w:val="en-US"/>
        </w:rPr>
        <w:t>new beam but the reference measurement is from the old beam. If the DL PL change (referred to as “</w:t>
      </w:r>
      <w:r w:rsidRPr="00091D30">
        <w:rPr>
          <w:i/>
          <w:lang w:val="en-US"/>
        </w:rPr>
        <w:t>dl-PathlossChange</w:t>
      </w:r>
      <w:r w:rsidRPr="00091D30">
        <w:rPr>
          <w:lang w:val="en-US"/>
        </w:rPr>
        <w:t xml:space="preserve">”) becomes more </w:t>
      </w:r>
      <w:r w:rsidRPr="00091D30">
        <w:rPr>
          <w:color w:val="000000" w:themeColor="text1"/>
          <w:lang w:val="en-US" w:eastAsia="x-none"/>
        </w:rPr>
        <w:t xml:space="preserve">than </w:t>
      </w:r>
      <w:r w:rsidRPr="00091D30">
        <w:rPr>
          <w:i/>
          <w:color w:val="000000" w:themeColor="text1"/>
          <w:lang w:val="en-US" w:eastAsia="x-none"/>
        </w:rPr>
        <w:t>dl-PathlossChange</w:t>
      </w:r>
      <w:r w:rsidRPr="00091D30">
        <w:rPr>
          <w:color w:val="000000" w:themeColor="text1"/>
          <w:lang w:val="en-US" w:eastAsia="x-none"/>
        </w:rPr>
        <w:t xml:space="preserve"> dB</w:t>
      </w:r>
      <w:r w:rsidRPr="00091D30">
        <w:rPr>
          <w:lang w:val="en-US"/>
        </w:rPr>
        <w:t xml:space="preserve"> when switching beam, a new PHR would be triggered. This example explains how the beam switches would operate based on the LTE PHR format and trigger. From this example, it is also indicated that the subsequent DL PL measurements used in the PHR triggers may be from different serving beams. </w:t>
      </w:r>
    </w:p>
    <w:p w14:paraId="7C3BD095" w14:textId="3EC788C9" w:rsidR="001C2B35" w:rsidRPr="00091D30" w:rsidRDefault="001C2B35" w:rsidP="00091D30">
      <w:pPr>
        <w:pStyle w:val="Observation"/>
      </w:pPr>
      <w:bookmarkStart w:id="81" w:name="_Toc490048809"/>
      <w:bookmarkStart w:id="82" w:name="_Toc490217815"/>
      <w:r w:rsidRPr="00091D30">
        <w:t>When evaluating if a PHR can be trigger during the beam switch, the UE MAC entity may compare PL measurements between different beams (i.e</w:t>
      </w:r>
      <w:r w:rsidR="00091D30" w:rsidRPr="00091D30">
        <w:t>.</w:t>
      </w:r>
      <w:r w:rsidRPr="00091D30">
        <w:t xml:space="preserve"> the measure</w:t>
      </w:r>
      <w:r w:rsidR="00091D30" w:rsidRPr="00091D30">
        <w:t>ment</w:t>
      </w:r>
      <w:r w:rsidRPr="00091D30">
        <w:t xml:space="preserve"> on a new beam but the reference measurement is from the old beam). In other words, the LTE parameter “</w:t>
      </w:r>
      <w:r w:rsidRPr="00091D30">
        <w:rPr>
          <w:i/>
        </w:rPr>
        <w:t>dl-PathlossChange</w:t>
      </w:r>
      <w:r w:rsidRPr="00091D30">
        <w:t xml:space="preserve">” is sufficient for </w:t>
      </w:r>
      <w:r w:rsidR="000F55B9" w:rsidRPr="00091D30">
        <w:t xml:space="preserve">PHR during </w:t>
      </w:r>
      <w:r w:rsidRPr="00091D30">
        <w:t>beam-switch</w:t>
      </w:r>
      <w:r w:rsidR="000F55B9" w:rsidRPr="00091D30">
        <w:t>es</w:t>
      </w:r>
      <w:bookmarkEnd w:id="81"/>
      <w:r w:rsidR="00091D30" w:rsidRPr="00091D30">
        <w:t>.</w:t>
      </w:r>
      <w:bookmarkEnd w:id="82"/>
    </w:p>
    <w:p w14:paraId="2ED37B0A" w14:textId="1CD590C5" w:rsidR="007F44B6" w:rsidRPr="00091D30" w:rsidRDefault="00FD648C" w:rsidP="00F81DD5">
      <w:pPr>
        <w:rPr>
          <w:lang w:val="en-US"/>
        </w:rPr>
      </w:pPr>
      <w:r w:rsidRPr="00091D30">
        <w:rPr>
          <w:lang w:val="en-US"/>
        </w:rPr>
        <w:t>Hence, it is suggested that</w:t>
      </w:r>
    </w:p>
    <w:p w14:paraId="2D1866A4" w14:textId="3F14186D" w:rsidR="008737B6" w:rsidRPr="008737B6" w:rsidRDefault="00FD648C" w:rsidP="008737B6">
      <w:pPr>
        <w:pStyle w:val="Proposal"/>
      </w:pPr>
      <w:bookmarkStart w:id="83" w:name="_Toc489988187"/>
      <w:bookmarkStart w:id="84" w:name="_Toc490048807"/>
      <w:bookmarkStart w:id="85" w:name="_Toc490059831"/>
      <w:bookmarkStart w:id="86" w:name="_Toc490120706"/>
      <w:bookmarkStart w:id="87" w:name="_Toc490217832"/>
      <w:r w:rsidRPr="00091D30">
        <w:t>No need to update PHR format and trigger with respect to the change of serving beams</w:t>
      </w:r>
      <w:bookmarkEnd w:id="83"/>
      <w:bookmarkEnd w:id="84"/>
      <w:bookmarkEnd w:id="85"/>
      <w:bookmarkEnd w:id="86"/>
      <w:r w:rsidR="00091D30">
        <w:t>.</w:t>
      </w:r>
      <w:bookmarkEnd w:id="87"/>
    </w:p>
    <w:p w14:paraId="20727116" w14:textId="77777777" w:rsidR="00C01F33" w:rsidRPr="00091D30" w:rsidRDefault="00C01F33" w:rsidP="00CE0424">
      <w:pPr>
        <w:pStyle w:val="Heading1"/>
        <w:rPr>
          <w:lang w:val="en-US"/>
        </w:rPr>
      </w:pPr>
      <w:bookmarkStart w:id="88" w:name="_Toc487029696"/>
      <w:bookmarkEnd w:id="13"/>
      <w:bookmarkEnd w:id="14"/>
      <w:bookmarkEnd w:id="88"/>
      <w:r w:rsidRPr="00091D30">
        <w:rPr>
          <w:lang w:val="en-US"/>
        </w:rPr>
        <w:t>Conclusion</w:t>
      </w:r>
    </w:p>
    <w:p w14:paraId="208DE9D5" w14:textId="5B9BA910" w:rsidR="00F81DD5" w:rsidRPr="00384888" w:rsidRDefault="008E065E">
      <w:pPr>
        <w:pStyle w:val="TOC1"/>
        <w:rPr>
          <w:b w:val="0"/>
          <w:noProof w:val="0"/>
        </w:rPr>
      </w:pPr>
      <w:r w:rsidRPr="00384888">
        <w:rPr>
          <w:b w:val="0"/>
          <w:noProof w:val="0"/>
        </w:rPr>
        <w:t xml:space="preserve">In section </w:t>
      </w:r>
      <w:r w:rsidRPr="00384888">
        <w:rPr>
          <w:b w:val="0"/>
          <w:noProof w:val="0"/>
          <w:highlight w:val="cyan"/>
        </w:rPr>
        <w:fldChar w:fldCharType="begin"/>
      </w:r>
      <w:r w:rsidRPr="00384888">
        <w:rPr>
          <w:b w:val="0"/>
          <w:noProof w:val="0"/>
        </w:rPr>
        <w:instrText xml:space="preserve"> REF _Ref178064866 \r \h </w:instrText>
      </w:r>
      <w:r w:rsidR="00384888" w:rsidRPr="00384888">
        <w:rPr>
          <w:b w:val="0"/>
          <w:noProof w:val="0"/>
          <w:highlight w:val="cyan"/>
        </w:rPr>
        <w:instrText xml:space="preserve"> \* MERGEFORMAT </w:instrText>
      </w:r>
      <w:r w:rsidRPr="00384888">
        <w:rPr>
          <w:b w:val="0"/>
          <w:noProof w:val="0"/>
          <w:highlight w:val="cyan"/>
        </w:rPr>
      </w:r>
      <w:r w:rsidRPr="00384888">
        <w:rPr>
          <w:b w:val="0"/>
          <w:noProof w:val="0"/>
          <w:highlight w:val="cyan"/>
        </w:rPr>
        <w:fldChar w:fldCharType="separate"/>
      </w:r>
      <w:r w:rsidR="00DB6C25" w:rsidRPr="00384888">
        <w:rPr>
          <w:b w:val="0"/>
          <w:noProof w:val="0"/>
        </w:rPr>
        <w:t>2</w:t>
      </w:r>
      <w:r w:rsidRPr="00384888">
        <w:rPr>
          <w:b w:val="0"/>
          <w:noProof w:val="0"/>
          <w:highlight w:val="cyan"/>
        </w:rPr>
        <w:fldChar w:fldCharType="end"/>
      </w:r>
      <w:r w:rsidRPr="00384888">
        <w:rPr>
          <w:b w:val="0"/>
          <w:noProof w:val="0"/>
        </w:rPr>
        <w:t xml:space="preserve"> we made the following observations:</w:t>
      </w:r>
    </w:p>
    <w:p w14:paraId="7B148763" w14:textId="77777777" w:rsidR="00384888" w:rsidRPr="00384888" w:rsidRDefault="008E065E">
      <w:pPr>
        <w:pStyle w:val="TOC1"/>
        <w:rPr>
          <w:rFonts w:asciiTheme="minorHAnsi" w:eastAsiaTheme="minorEastAsia" w:hAnsiTheme="minorHAnsi" w:cstheme="minorBidi"/>
          <w:b w:val="0"/>
          <w:sz w:val="22"/>
        </w:rPr>
      </w:pPr>
      <w:r w:rsidRPr="00091D30">
        <w:rPr>
          <w:b w:val="0"/>
          <w:bCs/>
          <w:noProof w:val="0"/>
        </w:rPr>
        <w:fldChar w:fldCharType="begin"/>
      </w:r>
      <w:r w:rsidRPr="00091D30">
        <w:rPr>
          <w:b w:val="0"/>
          <w:bCs/>
          <w:noProof w:val="0"/>
        </w:rPr>
        <w:instrText xml:space="preserve"> TOC \f \n \t "Observation;1" </w:instrText>
      </w:r>
      <w:r w:rsidRPr="00091D30">
        <w:rPr>
          <w:b w:val="0"/>
          <w:bCs/>
          <w:noProof w:val="0"/>
        </w:rPr>
        <w:fldChar w:fldCharType="separate"/>
      </w:r>
      <w:r w:rsidR="00384888">
        <w:t>Observation 1</w:t>
      </w:r>
      <w:r w:rsidR="00384888" w:rsidRPr="00384888">
        <w:rPr>
          <w:rFonts w:asciiTheme="minorHAnsi" w:eastAsiaTheme="minorEastAsia" w:hAnsiTheme="minorHAnsi" w:cstheme="minorBidi"/>
          <w:b w:val="0"/>
          <w:sz w:val="22"/>
        </w:rPr>
        <w:tab/>
      </w:r>
      <w:r w:rsidR="00384888">
        <w:t>Power control details for DC (non standalone) is still under discussion in RAN1.</w:t>
      </w:r>
    </w:p>
    <w:p w14:paraId="5D9AD04F" w14:textId="77777777" w:rsidR="00384888" w:rsidRPr="00384888" w:rsidRDefault="00384888">
      <w:pPr>
        <w:pStyle w:val="TOC1"/>
        <w:rPr>
          <w:rFonts w:asciiTheme="minorHAnsi" w:eastAsiaTheme="minorEastAsia" w:hAnsiTheme="minorHAnsi" w:cstheme="minorBidi"/>
          <w:b w:val="0"/>
          <w:sz w:val="22"/>
        </w:rPr>
      </w:pPr>
      <w:r>
        <w:t>Observation 2</w:t>
      </w:r>
      <w:r w:rsidRPr="00384888">
        <w:rPr>
          <w:rFonts w:asciiTheme="minorHAnsi" w:eastAsiaTheme="minorEastAsia" w:hAnsiTheme="minorHAnsi" w:cstheme="minorBidi"/>
          <w:b w:val="0"/>
          <w:sz w:val="22"/>
        </w:rPr>
        <w:tab/>
      </w:r>
      <w:r>
        <w:rPr>
          <w:lang w:eastAsia="ko-KR"/>
        </w:rPr>
        <w:t>The support of multiple numerologies/BWPs does not impact PHR format and trigger.</w:t>
      </w:r>
    </w:p>
    <w:p w14:paraId="17363D8B" w14:textId="77777777" w:rsidR="00384888" w:rsidRPr="00384888" w:rsidRDefault="00384888">
      <w:pPr>
        <w:pStyle w:val="TOC1"/>
        <w:rPr>
          <w:rFonts w:asciiTheme="minorHAnsi" w:eastAsiaTheme="minorEastAsia" w:hAnsiTheme="minorHAnsi" w:cstheme="minorBidi"/>
          <w:b w:val="0"/>
          <w:sz w:val="22"/>
        </w:rPr>
      </w:pPr>
      <w:r>
        <w:t>Observation 3</w:t>
      </w:r>
      <w:r w:rsidRPr="00384888">
        <w:rPr>
          <w:rFonts w:asciiTheme="minorHAnsi" w:eastAsiaTheme="minorEastAsia" w:hAnsiTheme="minorHAnsi" w:cstheme="minorBidi"/>
          <w:b w:val="0"/>
          <w:sz w:val="22"/>
        </w:rPr>
        <w:tab/>
      </w:r>
      <w:r>
        <w:t>When evaluating if a PHR can be trigger during the beam switch, the UE MAC entity may compare PL measurements between different beams (i.e. the measurement on a new beam but the reference measurement is from the old beam). In other words, the LTE parameter “</w:t>
      </w:r>
      <w:r w:rsidRPr="00D660D9">
        <w:rPr>
          <w:i/>
        </w:rPr>
        <w:t>dl-PathlossChange</w:t>
      </w:r>
      <w:r>
        <w:t>” is sufficient for PHR during beam-switches.</w:t>
      </w:r>
    </w:p>
    <w:p w14:paraId="082647C2" w14:textId="5917A4A7" w:rsidR="008E065E" w:rsidRPr="00091D30" w:rsidRDefault="008E065E" w:rsidP="008E065E">
      <w:pPr>
        <w:pStyle w:val="BodyText"/>
        <w:rPr>
          <w:b/>
          <w:bCs/>
          <w:lang w:val="en-US"/>
        </w:rPr>
      </w:pPr>
      <w:r w:rsidRPr="00091D30">
        <w:rPr>
          <w:b/>
          <w:bCs/>
          <w:lang w:val="en-US"/>
        </w:rPr>
        <w:fldChar w:fldCharType="end"/>
      </w:r>
    </w:p>
    <w:p w14:paraId="3B87A4D0" w14:textId="7A3E8DFA" w:rsidR="0004545F" w:rsidRPr="00384888" w:rsidRDefault="008E065E">
      <w:pPr>
        <w:pStyle w:val="TOC1"/>
        <w:rPr>
          <w:b w:val="0"/>
          <w:noProof w:val="0"/>
        </w:rPr>
      </w:pPr>
      <w:r w:rsidRPr="00384888">
        <w:rPr>
          <w:b w:val="0"/>
          <w:noProof w:val="0"/>
        </w:rPr>
        <w:t xml:space="preserve">Based on the discussion in section </w:t>
      </w:r>
      <w:r w:rsidRPr="00384888">
        <w:rPr>
          <w:b w:val="0"/>
          <w:noProof w:val="0"/>
          <w:highlight w:val="cyan"/>
        </w:rPr>
        <w:fldChar w:fldCharType="begin"/>
      </w:r>
      <w:r w:rsidRPr="00384888">
        <w:rPr>
          <w:b w:val="0"/>
          <w:noProof w:val="0"/>
        </w:rPr>
        <w:instrText xml:space="preserve"> REF _Ref178064866 \r \h </w:instrText>
      </w:r>
      <w:r w:rsidR="00384888">
        <w:rPr>
          <w:b w:val="0"/>
          <w:noProof w:val="0"/>
          <w:highlight w:val="cyan"/>
        </w:rPr>
        <w:instrText xml:space="preserve"> \* MERGEFORMAT </w:instrText>
      </w:r>
      <w:r w:rsidRPr="00384888">
        <w:rPr>
          <w:b w:val="0"/>
          <w:noProof w:val="0"/>
          <w:highlight w:val="cyan"/>
        </w:rPr>
      </w:r>
      <w:r w:rsidRPr="00384888">
        <w:rPr>
          <w:b w:val="0"/>
          <w:noProof w:val="0"/>
          <w:highlight w:val="cyan"/>
        </w:rPr>
        <w:fldChar w:fldCharType="separate"/>
      </w:r>
      <w:r w:rsidR="00DB6C25" w:rsidRPr="00384888">
        <w:rPr>
          <w:b w:val="0"/>
          <w:noProof w:val="0"/>
        </w:rPr>
        <w:t>2</w:t>
      </w:r>
      <w:r w:rsidRPr="00384888">
        <w:rPr>
          <w:b w:val="0"/>
          <w:noProof w:val="0"/>
          <w:highlight w:val="cyan"/>
        </w:rPr>
        <w:fldChar w:fldCharType="end"/>
      </w:r>
      <w:r w:rsidRPr="00384888">
        <w:rPr>
          <w:b w:val="0"/>
          <w:noProof w:val="0"/>
        </w:rPr>
        <w:t xml:space="preserve"> we propose the following:</w:t>
      </w:r>
    </w:p>
    <w:p w14:paraId="55D3452F" w14:textId="77777777" w:rsidR="00384888" w:rsidRPr="00384888" w:rsidRDefault="008E065E">
      <w:pPr>
        <w:pStyle w:val="TOC1"/>
        <w:rPr>
          <w:rFonts w:asciiTheme="minorHAnsi" w:eastAsiaTheme="minorEastAsia" w:hAnsiTheme="minorHAnsi" w:cstheme="minorBidi"/>
          <w:b w:val="0"/>
          <w:sz w:val="22"/>
        </w:rPr>
      </w:pPr>
      <w:r w:rsidRPr="00091D30">
        <w:rPr>
          <w:b w:val="0"/>
          <w:bCs/>
          <w:noProof w:val="0"/>
        </w:rPr>
        <w:fldChar w:fldCharType="begin"/>
      </w:r>
      <w:r w:rsidRPr="00091D30">
        <w:rPr>
          <w:bCs/>
          <w:noProof w:val="0"/>
        </w:rPr>
        <w:instrText xml:space="preserve"> TOC \f \n \p " " \t "Proposal;1" </w:instrText>
      </w:r>
      <w:r w:rsidRPr="00091D30">
        <w:rPr>
          <w:b w:val="0"/>
          <w:bCs/>
          <w:noProof w:val="0"/>
        </w:rPr>
        <w:fldChar w:fldCharType="separate"/>
      </w:r>
      <w:r w:rsidR="00384888">
        <w:t>Proposal 1</w:t>
      </w:r>
      <w:r w:rsidR="00384888" w:rsidRPr="00384888">
        <w:rPr>
          <w:rFonts w:asciiTheme="minorHAnsi" w:eastAsiaTheme="minorEastAsia" w:hAnsiTheme="minorHAnsi" w:cstheme="minorBidi"/>
          <w:b w:val="0"/>
          <w:sz w:val="22"/>
        </w:rPr>
        <w:tab/>
      </w:r>
      <w:r w:rsidR="00384888">
        <w:t>Reuse LTE PHR MAC CE as the baseline for single connectivity.</w:t>
      </w:r>
    </w:p>
    <w:p w14:paraId="2511ED26" w14:textId="77777777" w:rsidR="00384888" w:rsidRPr="00384888" w:rsidRDefault="00384888">
      <w:pPr>
        <w:pStyle w:val="TOC1"/>
        <w:rPr>
          <w:rFonts w:asciiTheme="minorHAnsi" w:eastAsiaTheme="minorEastAsia" w:hAnsiTheme="minorHAnsi" w:cstheme="minorBidi"/>
          <w:b w:val="0"/>
          <w:sz w:val="22"/>
        </w:rPr>
      </w:pPr>
      <w:r>
        <w:t>Proposal 2</w:t>
      </w:r>
      <w:r w:rsidRPr="00384888">
        <w:rPr>
          <w:rFonts w:asciiTheme="minorHAnsi" w:eastAsiaTheme="minorEastAsia" w:hAnsiTheme="minorHAnsi" w:cstheme="minorBidi"/>
          <w:b w:val="0"/>
          <w:sz w:val="22"/>
        </w:rPr>
        <w:tab/>
      </w:r>
      <w:r>
        <w:t>For extended PHR MAC CE, RAN2 studies if NR shall support both extendedPHR and extendedPHR2 formats.</w:t>
      </w:r>
    </w:p>
    <w:p w14:paraId="3BC392D0" w14:textId="77777777" w:rsidR="00384888" w:rsidRPr="00384888" w:rsidRDefault="00384888">
      <w:pPr>
        <w:pStyle w:val="TOC1"/>
        <w:rPr>
          <w:rFonts w:asciiTheme="minorHAnsi" w:eastAsiaTheme="minorEastAsia" w:hAnsiTheme="minorHAnsi" w:cstheme="minorBidi"/>
          <w:b w:val="0"/>
          <w:sz w:val="22"/>
        </w:rPr>
      </w:pPr>
      <w:r>
        <w:t>Proposal 3</w:t>
      </w:r>
      <w:r w:rsidRPr="00384888">
        <w:rPr>
          <w:rFonts w:asciiTheme="minorHAnsi" w:eastAsiaTheme="minorEastAsia" w:hAnsiTheme="minorHAnsi" w:cstheme="minorBidi"/>
          <w:b w:val="0"/>
          <w:sz w:val="22"/>
        </w:rPr>
        <w:tab/>
      </w:r>
      <w:r>
        <w:t>The format for DC PHR MAC CE is pending RAN1 discussions.</w:t>
      </w:r>
    </w:p>
    <w:p w14:paraId="58E3FE64" w14:textId="77777777" w:rsidR="00384888" w:rsidRPr="00384888" w:rsidRDefault="00384888">
      <w:pPr>
        <w:pStyle w:val="TOC1"/>
        <w:rPr>
          <w:rFonts w:asciiTheme="minorHAnsi" w:eastAsiaTheme="minorEastAsia" w:hAnsiTheme="minorHAnsi" w:cstheme="minorBidi"/>
          <w:b w:val="0"/>
          <w:sz w:val="22"/>
        </w:rPr>
      </w:pPr>
      <w:r>
        <w:t>Proposal 4</w:t>
      </w:r>
      <w:r w:rsidRPr="00384888">
        <w:rPr>
          <w:rFonts w:asciiTheme="minorHAnsi" w:eastAsiaTheme="minorEastAsia" w:hAnsiTheme="minorHAnsi" w:cstheme="minorBidi"/>
          <w:b w:val="0"/>
          <w:sz w:val="22"/>
        </w:rPr>
        <w:tab/>
      </w:r>
      <w:r>
        <w:t>As like LTE, NR supports all three types of PH report, including Type 1 PH, Type 2 PH and Type 3 PH.</w:t>
      </w:r>
    </w:p>
    <w:p w14:paraId="3DA33172" w14:textId="77777777" w:rsidR="00384888" w:rsidRPr="00384888" w:rsidRDefault="00384888">
      <w:pPr>
        <w:pStyle w:val="TOC1"/>
        <w:rPr>
          <w:rFonts w:asciiTheme="minorHAnsi" w:eastAsiaTheme="minorEastAsia" w:hAnsiTheme="minorHAnsi" w:cstheme="minorBidi"/>
          <w:b w:val="0"/>
          <w:sz w:val="22"/>
        </w:rPr>
      </w:pPr>
      <w:r>
        <w:t>Proposal 5</w:t>
      </w:r>
      <w:r w:rsidRPr="00384888">
        <w:rPr>
          <w:rFonts w:asciiTheme="minorHAnsi" w:eastAsiaTheme="minorEastAsia" w:hAnsiTheme="minorHAnsi" w:cstheme="minorBidi"/>
          <w:b w:val="0"/>
          <w:sz w:val="22"/>
        </w:rPr>
        <w:tab/>
      </w:r>
      <w:r>
        <w:t>NR supports LTE PHR triggering events as the baseline.</w:t>
      </w:r>
    </w:p>
    <w:p w14:paraId="38ACCA91" w14:textId="77777777" w:rsidR="00384888" w:rsidRPr="00384888" w:rsidRDefault="00384888">
      <w:pPr>
        <w:pStyle w:val="TOC1"/>
        <w:rPr>
          <w:rFonts w:asciiTheme="minorHAnsi" w:eastAsiaTheme="minorEastAsia" w:hAnsiTheme="minorHAnsi" w:cstheme="minorBidi"/>
          <w:b w:val="0"/>
          <w:sz w:val="22"/>
        </w:rPr>
      </w:pPr>
      <w:r>
        <w:t>Proposal 6</w:t>
      </w:r>
      <w:r w:rsidRPr="00384888">
        <w:rPr>
          <w:rFonts w:asciiTheme="minorHAnsi" w:eastAsiaTheme="minorEastAsia" w:hAnsiTheme="minorHAnsi" w:cstheme="minorBidi"/>
          <w:b w:val="0"/>
          <w:sz w:val="22"/>
        </w:rPr>
        <w:tab/>
      </w:r>
      <w:r>
        <w:t>For DC, RAN2 discusses whether the occurrence of a handover or a change of SCG can trigger a PHR.</w:t>
      </w:r>
    </w:p>
    <w:p w14:paraId="57E3E295" w14:textId="77777777" w:rsidR="00384888" w:rsidRPr="00384888" w:rsidRDefault="00384888">
      <w:pPr>
        <w:pStyle w:val="TOC1"/>
        <w:rPr>
          <w:rFonts w:asciiTheme="minorHAnsi" w:eastAsiaTheme="minorEastAsia" w:hAnsiTheme="minorHAnsi" w:cstheme="minorBidi"/>
          <w:b w:val="0"/>
          <w:sz w:val="22"/>
        </w:rPr>
      </w:pPr>
      <w:r>
        <w:t>Proposal 7</w:t>
      </w:r>
      <w:r w:rsidRPr="00384888">
        <w:rPr>
          <w:rFonts w:asciiTheme="minorHAnsi" w:eastAsiaTheme="minorEastAsia" w:hAnsiTheme="minorHAnsi" w:cstheme="minorBidi"/>
          <w:b w:val="0"/>
          <w:sz w:val="22"/>
        </w:rPr>
        <w:tab/>
      </w:r>
      <w:r>
        <w:t>The LTE extended PHR MAC CE and trigger can be reused for a NR UE in CA scenario.</w:t>
      </w:r>
    </w:p>
    <w:p w14:paraId="5C785A06" w14:textId="77777777" w:rsidR="00384888" w:rsidRPr="00384888" w:rsidRDefault="00384888">
      <w:pPr>
        <w:pStyle w:val="TOC1"/>
        <w:rPr>
          <w:rFonts w:asciiTheme="minorHAnsi" w:eastAsiaTheme="minorEastAsia" w:hAnsiTheme="minorHAnsi" w:cstheme="minorBidi"/>
          <w:b w:val="0"/>
          <w:sz w:val="22"/>
        </w:rPr>
      </w:pPr>
      <w:r>
        <w:t>Proposal 8</w:t>
      </w:r>
      <w:r w:rsidRPr="00384888">
        <w:rPr>
          <w:rFonts w:asciiTheme="minorHAnsi" w:eastAsiaTheme="minorEastAsia" w:hAnsiTheme="minorHAnsi" w:cstheme="minorBidi"/>
          <w:b w:val="0"/>
          <w:sz w:val="22"/>
        </w:rPr>
        <w:tab/>
      </w:r>
      <w:r>
        <w:t>No need to update PHR format and trigger with respect to the change of uplink waveform.</w:t>
      </w:r>
    </w:p>
    <w:p w14:paraId="1022879A" w14:textId="77777777" w:rsidR="00384888" w:rsidRPr="00384888" w:rsidRDefault="00384888">
      <w:pPr>
        <w:pStyle w:val="TOC1"/>
        <w:rPr>
          <w:rFonts w:asciiTheme="minorHAnsi" w:eastAsiaTheme="minorEastAsia" w:hAnsiTheme="minorHAnsi" w:cstheme="minorBidi"/>
          <w:b w:val="0"/>
          <w:sz w:val="22"/>
        </w:rPr>
      </w:pPr>
      <w:r>
        <w:t>Proposal 9</w:t>
      </w:r>
      <w:r w:rsidRPr="00384888">
        <w:rPr>
          <w:rFonts w:asciiTheme="minorHAnsi" w:eastAsiaTheme="minorEastAsia" w:hAnsiTheme="minorHAnsi" w:cstheme="minorBidi"/>
          <w:b w:val="0"/>
          <w:sz w:val="22"/>
        </w:rPr>
        <w:tab/>
      </w:r>
      <w:r>
        <w:t>No need to update PHR format and trigger with respect to the change of serving beams.</w:t>
      </w:r>
    </w:p>
    <w:p w14:paraId="00CC5D7F" w14:textId="51982BC0" w:rsidR="008E065E" w:rsidRPr="00091D30" w:rsidRDefault="008E065E" w:rsidP="008E065E">
      <w:pPr>
        <w:rPr>
          <w:b/>
          <w:bCs/>
          <w:lang w:val="en-US"/>
        </w:rPr>
      </w:pPr>
      <w:r w:rsidRPr="00091D30">
        <w:rPr>
          <w:b/>
          <w:bCs/>
          <w:lang w:val="en-US"/>
        </w:rPr>
        <w:fldChar w:fldCharType="end"/>
      </w:r>
    </w:p>
    <w:p w14:paraId="1C5F808C" w14:textId="77777777" w:rsidR="00F507D1" w:rsidRPr="00091D30" w:rsidRDefault="00F507D1" w:rsidP="00CE0424">
      <w:pPr>
        <w:pStyle w:val="Heading1"/>
        <w:rPr>
          <w:lang w:val="en-US"/>
        </w:rPr>
      </w:pPr>
      <w:bookmarkStart w:id="89" w:name="_In-sequence_SDU_delivery"/>
      <w:bookmarkEnd w:id="89"/>
      <w:r w:rsidRPr="00091D30">
        <w:rPr>
          <w:lang w:val="en-US"/>
        </w:rPr>
        <w:lastRenderedPageBreak/>
        <w:t>References</w:t>
      </w:r>
    </w:p>
    <w:p w14:paraId="766CC4C7" w14:textId="04068ADB" w:rsidR="003A7EF3" w:rsidRPr="00091D30" w:rsidRDefault="00D833A9" w:rsidP="00D833A9">
      <w:pPr>
        <w:pStyle w:val="Reference"/>
        <w:rPr>
          <w:lang w:val="en-US"/>
        </w:rPr>
      </w:pPr>
      <w:r>
        <w:rPr>
          <w:lang w:val="en-US"/>
        </w:rPr>
        <w:t>R2-1708200, "PHR Text proposal", Ericsson, RAN2#99, Berlin, Germany, 21</w:t>
      </w:r>
      <w:r w:rsidRPr="00D833A9">
        <w:rPr>
          <w:vertAlign w:val="superscript"/>
          <w:lang w:val="en-US"/>
        </w:rPr>
        <w:t>st</w:t>
      </w:r>
      <w:r>
        <w:rPr>
          <w:lang w:val="en-US"/>
        </w:rPr>
        <w:t xml:space="preserve"> – 25</w:t>
      </w:r>
      <w:r w:rsidRPr="00D833A9">
        <w:rPr>
          <w:vertAlign w:val="superscript"/>
          <w:lang w:val="en-US"/>
        </w:rPr>
        <w:t>th</w:t>
      </w:r>
      <w:r>
        <w:rPr>
          <w:lang w:val="en-US"/>
        </w:rPr>
        <w:t xml:space="preserve"> August 2017</w:t>
      </w:r>
    </w:p>
    <w:sectPr w:rsidR="003A7EF3" w:rsidRPr="00091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9F939" w14:textId="77777777" w:rsidR="00311882" w:rsidRDefault="00311882">
      <w:r>
        <w:separator/>
      </w:r>
    </w:p>
  </w:endnote>
  <w:endnote w:type="continuationSeparator" w:id="0">
    <w:p w14:paraId="7BCAC4B4" w14:textId="77777777" w:rsidR="00311882" w:rsidRDefault="00311882">
      <w:r>
        <w:continuationSeparator/>
      </w:r>
    </w:p>
  </w:endnote>
  <w:endnote w:type="continuationNotice" w:id="1">
    <w:p w14:paraId="09BD6401" w14:textId="77777777" w:rsidR="00311882" w:rsidRDefault="003118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等线 Light"/>
    <w:panose1 w:val="00000000000000000000"/>
    <w:charset w:val="86"/>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33C17" w14:textId="77777777" w:rsidR="00311882" w:rsidRDefault="00311882">
      <w:r>
        <w:separator/>
      </w:r>
    </w:p>
  </w:footnote>
  <w:footnote w:type="continuationSeparator" w:id="0">
    <w:p w14:paraId="188FF95B" w14:textId="77777777" w:rsidR="00311882" w:rsidRDefault="00311882">
      <w:r>
        <w:continuationSeparator/>
      </w:r>
    </w:p>
  </w:footnote>
  <w:footnote w:type="continuationNotice" w:id="1">
    <w:p w14:paraId="371C9B07" w14:textId="77777777" w:rsidR="00311882" w:rsidRDefault="003118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387CC3"/>
    <w:multiLevelType w:val="hybridMultilevel"/>
    <w:tmpl w:val="189A482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D70575"/>
    <w:multiLevelType w:val="hybridMultilevel"/>
    <w:tmpl w:val="F6DC04A4"/>
    <w:lvl w:ilvl="0" w:tplc="6A00F4EC">
      <w:start w:val="1"/>
      <w:numFmt w:val="bullet"/>
      <w:lvlText w:val="•"/>
      <w:lvlJc w:val="left"/>
      <w:pPr>
        <w:ind w:left="760" w:hanging="400"/>
      </w:pPr>
      <w:rPr>
        <w:rFonts w:ascii="Arial" w:hAnsi="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15:restartNumberingAfterBreak="0">
    <w:nsid w:val="08281DFC"/>
    <w:multiLevelType w:val="hybridMultilevel"/>
    <w:tmpl w:val="08282F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D0D6A1D"/>
    <w:multiLevelType w:val="hybridMultilevel"/>
    <w:tmpl w:val="E3DE6AC0"/>
    <w:lvl w:ilvl="0" w:tplc="BC8A75F0">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751555"/>
    <w:multiLevelType w:val="hybridMultilevel"/>
    <w:tmpl w:val="1B2A76E2"/>
    <w:lvl w:ilvl="0" w:tplc="8456738C">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144973D9"/>
    <w:multiLevelType w:val="hybridMultilevel"/>
    <w:tmpl w:val="2B42C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3C4319"/>
    <w:multiLevelType w:val="hybridMultilevel"/>
    <w:tmpl w:val="6C6866B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B7196"/>
    <w:multiLevelType w:val="hybridMultilevel"/>
    <w:tmpl w:val="1A8AA05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08E2A98"/>
    <w:multiLevelType w:val="hybridMultilevel"/>
    <w:tmpl w:val="86E81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39033B"/>
    <w:multiLevelType w:val="hybridMultilevel"/>
    <w:tmpl w:val="ECEA879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7C3714"/>
    <w:multiLevelType w:val="hybridMultilevel"/>
    <w:tmpl w:val="B4F8FB3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171189"/>
    <w:multiLevelType w:val="hybridMultilevel"/>
    <w:tmpl w:val="CBE218E4"/>
    <w:lvl w:ilvl="0" w:tplc="C0368D34">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631D0A"/>
    <w:multiLevelType w:val="hybridMultilevel"/>
    <w:tmpl w:val="9C44684E"/>
    <w:lvl w:ilvl="0" w:tplc="04090001">
      <w:start w:val="1"/>
      <w:numFmt w:val="bullet"/>
      <w:lvlText w:val=""/>
      <w:lvlJc w:val="left"/>
      <w:pPr>
        <w:ind w:left="720" w:hanging="360"/>
      </w:pPr>
      <w:rPr>
        <w:rFonts w:ascii="Symbol" w:hAnsi="Symbol" w:hint="default"/>
        <w:color w:val="auto"/>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177715"/>
    <w:multiLevelType w:val="hybridMultilevel"/>
    <w:tmpl w:val="4330FA9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144D13"/>
    <w:multiLevelType w:val="multilevel"/>
    <w:tmpl w:val="1A70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27A70"/>
    <w:multiLevelType w:val="hybridMultilevel"/>
    <w:tmpl w:val="E562995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F70666"/>
    <w:multiLevelType w:val="hybridMultilevel"/>
    <w:tmpl w:val="522CCF50"/>
    <w:lvl w:ilvl="0" w:tplc="8456738C">
      <w:numFmt w:val="bullet"/>
      <w:lvlText w:val="-"/>
      <w:lvlJc w:val="left"/>
      <w:pPr>
        <w:ind w:left="400" w:hanging="40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64ED2BB2"/>
    <w:multiLevelType w:val="hybridMultilevel"/>
    <w:tmpl w:val="B84EFFDE"/>
    <w:lvl w:ilvl="0" w:tplc="09F0B394">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3" w15:restartNumberingAfterBreak="0">
    <w:nsid w:val="65A52FE4"/>
    <w:multiLevelType w:val="hybridMultilevel"/>
    <w:tmpl w:val="D2688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AAD46B9"/>
    <w:multiLevelType w:val="hybridMultilevel"/>
    <w:tmpl w:val="9D94C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907BB5"/>
    <w:multiLevelType w:val="hybridMultilevel"/>
    <w:tmpl w:val="4664DD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37" w15:restartNumberingAfterBreak="0">
    <w:nsid w:val="757022F7"/>
    <w:multiLevelType w:val="hybridMultilevel"/>
    <w:tmpl w:val="18AE3B16"/>
    <w:lvl w:ilvl="0" w:tplc="04A2F5C6">
      <w:start w:val="1"/>
      <w:numFmt w:val="bullet"/>
      <w:lvlText w:val="•"/>
      <w:lvlJc w:val="left"/>
      <w:pPr>
        <w:tabs>
          <w:tab w:val="num" w:pos="720"/>
        </w:tabs>
        <w:ind w:left="720" w:hanging="360"/>
      </w:pPr>
      <w:rPr>
        <w:rFonts w:ascii="Arial" w:hAnsi="Arial" w:cs="Times New Roman" w:hint="default"/>
      </w:rPr>
    </w:lvl>
    <w:lvl w:ilvl="1" w:tplc="592E8DCC">
      <w:numFmt w:val="bullet"/>
      <w:lvlText w:val="–"/>
      <w:lvlJc w:val="left"/>
      <w:pPr>
        <w:tabs>
          <w:tab w:val="num" w:pos="1440"/>
        </w:tabs>
        <w:ind w:left="1440" w:hanging="360"/>
      </w:pPr>
      <w:rPr>
        <w:rFonts w:ascii="Arial" w:hAnsi="Arial" w:cs="Times New Roman" w:hint="default"/>
      </w:rPr>
    </w:lvl>
    <w:lvl w:ilvl="2" w:tplc="6504B9E8">
      <w:start w:val="1"/>
      <w:numFmt w:val="bullet"/>
      <w:lvlText w:val="•"/>
      <w:lvlJc w:val="left"/>
      <w:pPr>
        <w:tabs>
          <w:tab w:val="num" w:pos="2160"/>
        </w:tabs>
        <w:ind w:left="2160" w:hanging="360"/>
      </w:pPr>
      <w:rPr>
        <w:rFonts w:ascii="Arial" w:hAnsi="Arial" w:cs="Times New Roman" w:hint="default"/>
      </w:rPr>
    </w:lvl>
    <w:lvl w:ilvl="3" w:tplc="84588D76">
      <w:start w:val="1"/>
      <w:numFmt w:val="bullet"/>
      <w:lvlText w:val="•"/>
      <w:lvlJc w:val="left"/>
      <w:pPr>
        <w:tabs>
          <w:tab w:val="num" w:pos="2880"/>
        </w:tabs>
        <w:ind w:left="2880" w:hanging="360"/>
      </w:pPr>
      <w:rPr>
        <w:rFonts w:ascii="Arial" w:hAnsi="Arial" w:cs="Times New Roman" w:hint="default"/>
      </w:rPr>
    </w:lvl>
    <w:lvl w:ilvl="4" w:tplc="880A6134">
      <w:start w:val="1"/>
      <w:numFmt w:val="bullet"/>
      <w:lvlText w:val="•"/>
      <w:lvlJc w:val="left"/>
      <w:pPr>
        <w:tabs>
          <w:tab w:val="num" w:pos="3600"/>
        </w:tabs>
        <w:ind w:left="3600" w:hanging="360"/>
      </w:pPr>
      <w:rPr>
        <w:rFonts w:ascii="Arial" w:hAnsi="Arial" w:cs="Times New Roman" w:hint="default"/>
      </w:rPr>
    </w:lvl>
    <w:lvl w:ilvl="5" w:tplc="94CE22EC">
      <w:start w:val="1"/>
      <w:numFmt w:val="bullet"/>
      <w:lvlText w:val="•"/>
      <w:lvlJc w:val="left"/>
      <w:pPr>
        <w:tabs>
          <w:tab w:val="num" w:pos="4320"/>
        </w:tabs>
        <w:ind w:left="4320" w:hanging="360"/>
      </w:pPr>
      <w:rPr>
        <w:rFonts w:ascii="Arial" w:hAnsi="Arial" w:cs="Times New Roman" w:hint="default"/>
      </w:rPr>
    </w:lvl>
    <w:lvl w:ilvl="6" w:tplc="05E4637E">
      <w:start w:val="1"/>
      <w:numFmt w:val="bullet"/>
      <w:lvlText w:val="•"/>
      <w:lvlJc w:val="left"/>
      <w:pPr>
        <w:tabs>
          <w:tab w:val="num" w:pos="5040"/>
        </w:tabs>
        <w:ind w:left="5040" w:hanging="360"/>
      </w:pPr>
      <w:rPr>
        <w:rFonts w:ascii="Arial" w:hAnsi="Arial" w:cs="Times New Roman" w:hint="default"/>
      </w:rPr>
    </w:lvl>
    <w:lvl w:ilvl="7" w:tplc="37CA9B2A">
      <w:start w:val="1"/>
      <w:numFmt w:val="bullet"/>
      <w:lvlText w:val="•"/>
      <w:lvlJc w:val="left"/>
      <w:pPr>
        <w:tabs>
          <w:tab w:val="num" w:pos="5760"/>
        </w:tabs>
        <w:ind w:left="5760" w:hanging="360"/>
      </w:pPr>
      <w:rPr>
        <w:rFonts w:ascii="Arial" w:hAnsi="Arial" w:cs="Times New Roman" w:hint="default"/>
      </w:rPr>
    </w:lvl>
    <w:lvl w:ilvl="8" w:tplc="1A660632">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15:restartNumberingAfterBreak="0">
    <w:nsid w:val="76C23410"/>
    <w:multiLevelType w:val="hybridMultilevel"/>
    <w:tmpl w:val="252A1A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26"/>
  </w:num>
  <w:num w:numId="3">
    <w:abstractNumId w:val="20"/>
  </w:num>
  <w:num w:numId="4">
    <w:abstractNumId w:val="21"/>
  </w:num>
  <w:num w:numId="5">
    <w:abstractNumId w:val="17"/>
  </w:num>
  <w:num w:numId="6">
    <w:abstractNumId w:val="24"/>
  </w:num>
  <w:num w:numId="7">
    <w:abstractNumId w:val="30"/>
  </w:num>
  <w:num w:numId="8">
    <w:abstractNumId w:val="18"/>
  </w:num>
  <w:num w:numId="9">
    <w:abstractNumId w:val="16"/>
  </w:num>
  <w:num w:numId="10">
    <w:abstractNumId w:val="3"/>
  </w:num>
  <w:num w:numId="11">
    <w:abstractNumId w:val="2"/>
  </w:num>
  <w:num w:numId="12">
    <w:abstractNumId w:val="1"/>
  </w:num>
  <w:num w:numId="13">
    <w:abstractNumId w:val="28"/>
  </w:num>
  <w:num w:numId="14">
    <w:abstractNumId w:val="0"/>
  </w:num>
  <w:num w:numId="15">
    <w:abstractNumId w:val="34"/>
  </w:num>
  <w:num w:numId="16">
    <w:abstractNumId w:val="12"/>
  </w:num>
  <w:num w:numId="17">
    <w:abstractNumId w:val="22"/>
  </w:num>
  <w:num w:numId="18">
    <w:abstractNumId w:val="9"/>
  </w:num>
  <w:num w:numId="19">
    <w:abstractNumId w:val="38"/>
  </w:num>
  <w:num w:numId="20">
    <w:abstractNumId w:val="14"/>
  </w:num>
  <w:num w:numId="21">
    <w:abstractNumId w:val="25"/>
  </w:num>
  <w:num w:numId="22">
    <w:abstractNumId w:val="27"/>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23"/>
  </w:num>
  <w:num w:numId="27">
    <w:abstractNumId w:val="4"/>
  </w:num>
  <w:num w:numId="28">
    <w:abstractNumId w:val="8"/>
  </w:num>
  <w:num w:numId="29">
    <w:abstractNumId w:val="13"/>
  </w:num>
  <w:num w:numId="30">
    <w:abstractNumId w:val="37"/>
  </w:num>
  <w:num w:numId="31">
    <w:abstractNumId w:val="11"/>
  </w:num>
  <w:num w:numId="32">
    <w:abstractNumId w:val="15"/>
  </w:num>
  <w:num w:numId="33">
    <w:abstractNumId w:val="32"/>
  </w:num>
  <w:num w:numId="34">
    <w:abstractNumId w:val="10"/>
  </w:num>
  <w:num w:numId="35">
    <w:abstractNumId w:val="31"/>
  </w:num>
  <w:num w:numId="36">
    <w:abstractNumId w:val="7"/>
  </w:num>
  <w:num w:numId="37">
    <w:abstractNumId w:val="19"/>
  </w:num>
  <w:num w:numId="38">
    <w:abstractNumId w:val="39"/>
  </w:num>
  <w:num w:numId="39">
    <w:abstractNumId w:val="35"/>
  </w:num>
  <w:num w:numId="40">
    <w:abstractNumId w:val="29"/>
  </w:num>
  <w:num w:numId="41">
    <w:abstractNumId w:val="36"/>
  </w:num>
  <w:num w:numId="4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AU"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C25"/>
    <w:rsid w:val="000006E1"/>
    <w:rsid w:val="0000218D"/>
    <w:rsid w:val="00002A37"/>
    <w:rsid w:val="000039F4"/>
    <w:rsid w:val="00006446"/>
    <w:rsid w:val="00006896"/>
    <w:rsid w:val="00007CDC"/>
    <w:rsid w:val="00011B28"/>
    <w:rsid w:val="00015D15"/>
    <w:rsid w:val="00020607"/>
    <w:rsid w:val="0002564D"/>
    <w:rsid w:val="00025ECA"/>
    <w:rsid w:val="000325B8"/>
    <w:rsid w:val="00032E28"/>
    <w:rsid w:val="00034C15"/>
    <w:rsid w:val="00036BA1"/>
    <w:rsid w:val="00040957"/>
    <w:rsid w:val="000422E2"/>
    <w:rsid w:val="00042F22"/>
    <w:rsid w:val="000444EF"/>
    <w:rsid w:val="0004545F"/>
    <w:rsid w:val="00045CCF"/>
    <w:rsid w:val="00052101"/>
    <w:rsid w:val="00052A07"/>
    <w:rsid w:val="000534E3"/>
    <w:rsid w:val="0005606A"/>
    <w:rsid w:val="00057117"/>
    <w:rsid w:val="00060640"/>
    <w:rsid w:val="000616E7"/>
    <w:rsid w:val="0006487E"/>
    <w:rsid w:val="00065E1A"/>
    <w:rsid w:val="000677CF"/>
    <w:rsid w:val="000757DC"/>
    <w:rsid w:val="00077E5F"/>
    <w:rsid w:val="0008036A"/>
    <w:rsid w:val="00081AE6"/>
    <w:rsid w:val="000855EB"/>
    <w:rsid w:val="00085B52"/>
    <w:rsid w:val="000866F2"/>
    <w:rsid w:val="0009009F"/>
    <w:rsid w:val="00091557"/>
    <w:rsid w:val="00091D30"/>
    <w:rsid w:val="000924C1"/>
    <w:rsid w:val="000924F0"/>
    <w:rsid w:val="00093474"/>
    <w:rsid w:val="0009510F"/>
    <w:rsid w:val="0009626D"/>
    <w:rsid w:val="00097305"/>
    <w:rsid w:val="000A0C4E"/>
    <w:rsid w:val="000A1B7B"/>
    <w:rsid w:val="000A302D"/>
    <w:rsid w:val="000A4A38"/>
    <w:rsid w:val="000A56F2"/>
    <w:rsid w:val="000B07F6"/>
    <w:rsid w:val="000B2225"/>
    <w:rsid w:val="000B2719"/>
    <w:rsid w:val="000B3A8F"/>
    <w:rsid w:val="000B4AB9"/>
    <w:rsid w:val="000B54AB"/>
    <w:rsid w:val="000B58C3"/>
    <w:rsid w:val="000B61E9"/>
    <w:rsid w:val="000C165A"/>
    <w:rsid w:val="000C2E19"/>
    <w:rsid w:val="000C4BEE"/>
    <w:rsid w:val="000C5090"/>
    <w:rsid w:val="000C70E8"/>
    <w:rsid w:val="000D0D07"/>
    <w:rsid w:val="000D3105"/>
    <w:rsid w:val="000D4797"/>
    <w:rsid w:val="000E0527"/>
    <w:rsid w:val="000E1E92"/>
    <w:rsid w:val="000E2720"/>
    <w:rsid w:val="000E59D0"/>
    <w:rsid w:val="000F06D6"/>
    <w:rsid w:val="000F0EB1"/>
    <w:rsid w:val="000F1106"/>
    <w:rsid w:val="000F3A42"/>
    <w:rsid w:val="000F3BE9"/>
    <w:rsid w:val="000F3F6C"/>
    <w:rsid w:val="000F55B9"/>
    <w:rsid w:val="000F6DF3"/>
    <w:rsid w:val="001005FF"/>
    <w:rsid w:val="00103565"/>
    <w:rsid w:val="001062FB"/>
    <w:rsid w:val="001063E6"/>
    <w:rsid w:val="00106A39"/>
    <w:rsid w:val="00107509"/>
    <w:rsid w:val="00113BB3"/>
    <w:rsid w:val="00113CF4"/>
    <w:rsid w:val="001153EA"/>
    <w:rsid w:val="00115643"/>
    <w:rsid w:val="00116765"/>
    <w:rsid w:val="001219F5"/>
    <w:rsid w:val="00121A20"/>
    <w:rsid w:val="0012377F"/>
    <w:rsid w:val="00124314"/>
    <w:rsid w:val="001249F2"/>
    <w:rsid w:val="00126B4A"/>
    <w:rsid w:val="00132FD0"/>
    <w:rsid w:val="001344C0"/>
    <w:rsid w:val="001346FA"/>
    <w:rsid w:val="00135252"/>
    <w:rsid w:val="00137AB5"/>
    <w:rsid w:val="00137F0B"/>
    <w:rsid w:val="00143888"/>
    <w:rsid w:val="00151E23"/>
    <w:rsid w:val="001526E0"/>
    <w:rsid w:val="001551B5"/>
    <w:rsid w:val="001659C1"/>
    <w:rsid w:val="00173A8E"/>
    <w:rsid w:val="00176D4C"/>
    <w:rsid w:val="00177795"/>
    <w:rsid w:val="0018143F"/>
    <w:rsid w:val="00186EFA"/>
    <w:rsid w:val="00190AC1"/>
    <w:rsid w:val="00191D41"/>
    <w:rsid w:val="00192AEB"/>
    <w:rsid w:val="0019341A"/>
    <w:rsid w:val="001948BC"/>
    <w:rsid w:val="00196552"/>
    <w:rsid w:val="00197DF9"/>
    <w:rsid w:val="001A1987"/>
    <w:rsid w:val="001A2564"/>
    <w:rsid w:val="001A6173"/>
    <w:rsid w:val="001A6592"/>
    <w:rsid w:val="001A6A9A"/>
    <w:rsid w:val="001A6CBA"/>
    <w:rsid w:val="001B0D97"/>
    <w:rsid w:val="001B1427"/>
    <w:rsid w:val="001B5A5D"/>
    <w:rsid w:val="001C1CE5"/>
    <w:rsid w:val="001C21C7"/>
    <w:rsid w:val="001C2229"/>
    <w:rsid w:val="001C2B35"/>
    <w:rsid w:val="001C3534"/>
    <w:rsid w:val="001C3D2A"/>
    <w:rsid w:val="001D51BA"/>
    <w:rsid w:val="001D6342"/>
    <w:rsid w:val="001D67C1"/>
    <w:rsid w:val="001D6D53"/>
    <w:rsid w:val="001E58E2"/>
    <w:rsid w:val="001E6E40"/>
    <w:rsid w:val="001E7AED"/>
    <w:rsid w:val="001F0786"/>
    <w:rsid w:val="001F3916"/>
    <w:rsid w:val="001F46FF"/>
    <w:rsid w:val="001F54C5"/>
    <w:rsid w:val="001F662C"/>
    <w:rsid w:val="001F7074"/>
    <w:rsid w:val="00200490"/>
    <w:rsid w:val="00201F3A"/>
    <w:rsid w:val="00203F96"/>
    <w:rsid w:val="002069B2"/>
    <w:rsid w:val="002070B1"/>
    <w:rsid w:val="00207FA3"/>
    <w:rsid w:val="0021053C"/>
    <w:rsid w:val="00214DA8"/>
    <w:rsid w:val="00215423"/>
    <w:rsid w:val="002158FA"/>
    <w:rsid w:val="00220600"/>
    <w:rsid w:val="002224DB"/>
    <w:rsid w:val="00223FCB"/>
    <w:rsid w:val="002252C3"/>
    <w:rsid w:val="00225C54"/>
    <w:rsid w:val="00227066"/>
    <w:rsid w:val="00230765"/>
    <w:rsid w:val="002319E4"/>
    <w:rsid w:val="00235632"/>
    <w:rsid w:val="00235872"/>
    <w:rsid w:val="00240C2A"/>
    <w:rsid w:val="00241559"/>
    <w:rsid w:val="002435B3"/>
    <w:rsid w:val="002449C0"/>
    <w:rsid w:val="00244BAE"/>
    <w:rsid w:val="002458EB"/>
    <w:rsid w:val="002500C8"/>
    <w:rsid w:val="00256492"/>
    <w:rsid w:val="00257543"/>
    <w:rsid w:val="002617E7"/>
    <w:rsid w:val="00264228"/>
    <w:rsid w:val="00264334"/>
    <w:rsid w:val="0026473E"/>
    <w:rsid w:val="00264FD0"/>
    <w:rsid w:val="00266214"/>
    <w:rsid w:val="002674A5"/>
    <w:rsid w:val="00267C83"/>
    <w:rsid w:val="0027144F"/>
    <w:rsid w:val="00271B0E"/>
    <w:rsid w:val="00271F3A"/>
    <w:rsid w:val="00273278"/>
    <w:rsid w:val="002737F4"/>
    <w:rsid w:val="002805F5"/>
    <w:rsid w:val="00280751"/>
    <w:rsid w:val="0028280A"/>
    <w:rsid w:val="00286ACD"/>
    <w:rsid w:val="002875D6"/>
    <w:rsid w:val="00287838"/>
    <w:rsid w:val="002907B5"/>
    <w:rsid w:val="00292EB7"/>
    <w:rsid w:val="00296227"/>
    <w:rsid w:val="00296F44"/>
    <w:rsid w:val="0029777D"/>
    <w:rsid w:val="002A055E"/>
    <w:rsid w:val="002A1D4E"/>
    <w:rsid w:val="002A2869"/>
    <w:rsid w:val="002B0239"/>
    <w:rsid w:val="002B1A5B"/>
    <w:rsid w:val="002B24D6"/>
    <w:rsid w:val="002B76F7"/>
    <w:rsid w:val="002C41E6"/>
    <w:rsid w:val="002C51EA"/>
    <w:rsid w:val="002C6732"/>
    <w:rsid w:val="002D071A"/>
    <w:rsid w:val="002D34B2"/>
    <w:rsid w:val="002D7637"/>
    <w:rsid w:val="002E17F2"/>
    <w:rsid w:val="002E7CAE"/>
    <w:rsid w:val="002F2771"/>
    <w:rsid w:val="002F2CB3"/>
    <w:rsid w:val="002F37A9"/>
    <w:rsid w:val="002F7770"/>
    <w:rsid w:val="00301CE6"/>
    <w:rsid w:val="0030256B"/>
    <w:rsid w:val="0030501F"/>
    <w:rsid w:val="00307220"/>
    <w:rsid w:val="00307BA1"/>
    <w:rsid w:val="00311702"/>
    <w:rsid w:val="00311882"/>
    <w:rsid w:val="00311E82"/>
    <w:rsid w:val="00312D17"/>
    <w:rsid w:val="00313FD6"/>
    <w:rsid w:val="003143BD"/>
    <w:rsid w:val="003203ED"/>
    <w:rsid w:val="00322C9F"/>
    <w:rsid w:val="00324D23"/>
    <w:rsid w:val="00331751"/>
    <w:rsid w:val="00334579"/>
    <w:rsid w:val="00335858"/>
    <w:rsid w:val="00336BDA"/>
    <w:rsid w:val="00342BD7"/>
    <w:rsid w:val="00343386"/>
    <w:rsid w:val="00343A07"/>
    <w:rsid w:val="00346DB5"/>
    <w:rsid w:val="00347230"/>
    <w:rsid w:val="003477B1"/>
    <w:rsid w:val="003477F9"/>
    <w:rsid w:val="0035491B"/>
    <w:rsid w:val="00357380"/>
    <w:rsid w:val="003602D9"/>
    <w:rsid w:val="003604CE"/>
    <w:rsid w:val="00360DE8"/>
    <w:rsid w:val="00370E47"/>
    <w:rsid w:val="003742AC"/>
    <w:rsid w:val="00374F73"/>
    <w:rsid w:val="00377CE1"/>
    <w:rsid w:val="00384888"/>
    <w:rsid w:val="00385BF0"/>
    <w:rsid w:val="003939FF"/>
    <w:rsid w:val="00394E38"/>
    <w:rsid w:val="003968C6"/>
    <w:rsid w:val="00396920"/>
    <w:rsid w:val="00397E1B"/>
    <w:rsid w:val="003A2223"/>
    <w:rsid w:val="003A2A0F"/>
    <w:rsid w:val="003A45A1"/>
    <w:rsid w:val="003A5B0A"/>
    <w:rsid w:val="003A6BAC"/>
    <w:rsid w:val="003A7EF3"/>
    <w:rsid w:val="003B159C"/>
    <w:rsid w:val="003B369F"/>
    <w:rsid w:val="003B36A3"/>
    <w:rsid w:val="003B460B"/>
    <w:rsid w:val="003B7FE5"/>
    <w:rsid w:val="003C11C8"/>
    <w:rsid w:val="003C2702"/>
    <w:rsid w:val="003C5147"/>
    <w:rsid w:val="003C7806"/>
    <w:rsid w:val="003D109F"/>
    <w:rsid w:val="003D2478"/>
    <w:rsid w:val="003D3C45"/>
    <w:rsid w:val="003D5B1F"/>
    <w:rsid w:val="003E15FA"/>
    <w:rsid w:val="003E55E4"/>
    <w:rsid w:val="003E74E3"/>
    <w:rsid w:val="003F05C7"/>
    <w:rsid w:val="003F2CD4"/>
    <w:rsid w:val="003F6BBE"/>
    <w:rsid w:val="003F7360"/>
    <w:rsid w:val="004000E8"/>
    <w:rsid w:val="00400930"/>
    <w:rsid w:val="00401E59"/>
    <w:rsid w:val="00402E2B"/>
    <w:rsid w:val="0040512B"/>
    <w:rsid w:val="00405CA5"/>
    <w:rsid w:val="00407CD3"/>
    <w:rsid w:val="00410134"/>
    <w:rsid w:val="00410B72"/>
    <w:rsid w:val="00410F18"/>
    <w:rsid w:val="004119BE"/>
    <w:rsid w:val="0041263E"/>
    <w:rsid w:val="004137EA"/>
    <w:rsid w:val="00413AAC"/>
    <w:rsid w:val="004210D2"/>
    <w:rsid w:val="00421105"/>
    <w:rsid w:val="00423707"/>
    <w:rsid w:val="004242F4"/>
    <w:rsid w:val="00424B74"/>
    <w:rsid w:val="00427248"/>
    <w:rsid w:val="00431867"/>
    <w:rsid w:val="00433F14"/>
    <w:rsid w:val="00437447"/>
    <w:rsid w:val="00441A92"/>
    <w:rsid w:val="00444465"/>
    <w:rsid w:val="00444F56"/>
    <w:rsid w:val="00446488"/>
    <w:rsid w:val="004517AA"/>
    <w:rsid w:val="00452CAC"/>
    <w:rsid w:val="00455E32"/>
    <w:rsid w:val="00457565"/>
    <w:rsid w:val="00457B71"/>
    <w:rsid w:val="004626FF"/>
    <w:rsid w:val="004669E2"/>
    <w:rsid w:val="00470C31"/>
    <w:rsid w:val="004734D0"/>
    <w:rsid w:val="0047556B"/>
    <w:rsid w:val="00477768"/>
    <w:rsid w:val="00492BC5"/>
    <w:rsid w:val="004964F1"/>
    <w:rsid w:val="004A16BC"/>
    <w:rsid w:val="004A2B94"/>
    <w:rsid w:val="004B1023"/>
    <w:rsid w:val="004B7C0C"/>
    <w:rsid w:val="004C1368"/>
    <w:rsid w:val="004C2DB9"/>
    <w:rsid w:val="004C3898"/>
    <w:rsid w:val="004D2704"/>
    <w:rsid w:val="004D36B1"/>
    <w:rsid w:val="004D7EBD"/>
    <w:rsid w:val="004E2680"/>
    <w:rsid w:val="004E28F9"/>
    <w:rsid w:val="004E462E"/>
    <w:rsid w:val="004E56DC"/>
    <w:rsid w:val="004E76F4"/>
    <w:rsid w:val="004E7F67"/>
    <w:rsid w:val="004F0B4E"/>
    <w:rsid w:val="004F0B6C"/>
    <w:rsid w:val="004F2078"/>
    <w:rsid w:val="004F4DA3"/>
    <w:rsid w:val="00502529"/>
    <w:rsid w:val="00502A0D"/>
    <w:rsid w:val="00503120"/>
    <w:rsid w:val="00506557"/>
    <w:rsid w:val="0050677A"/>
    <w:rsid w:val="005108C4"/>
    <w:rsid w:val="005108D8"/>
    <w:rsid w:val="005116F9"/>
    <w:rsid w:val="005153A7"/>
    <w:rsid w:val="005219CF"/>
    <w:rsid w:val="00523C21"/>
    <w:rsid w:val="00533C01"/>
    <w:rsid w:val="00534B59"/>
    <w:rsid w:val="00536759"/>
    <w:rsid w:val="005369E7"/>
    <w:rsid w:val="00537C62"/>
    <w:rsid w:val="00541EC7"/>
    <w:rsid w:val="005448A1"/>
    <w:rsid w:val="00546970"/>
    <w:rsid w:val="00554E19"/>
    <w:rsid w:val="0056121F"/>
    <w:rsid w:val="00564F70"/>
    <w:rsid w:val="005663FA"/>
    <w:rsid w:val="00572505"/>
    <w:rsid w:val="00572D2D"/>
    <w:rsid w:val="00580D67"/>
    <w:rsid w:val="00582809"/>
    <w:rsid w:val="00583E67"/>
    <w:rsid w:val="0058798C"/>
    <w:rsid w:val="005900FA"/>
    <w:rsid w:val="005935A4"/>
    <w:rsid w:val="005948C2"/>
    <w:rsid w:val="00595DCA"/>
    <w:rsid w:val="0059779B"/>
    <w:rsid w:val="005A209A"/>
    <w:rsid w:val="005A662D"/>
    <w:rsid w:val="005B0236"/>
    <w:rsid w:val="005B35D7"/>
    <w:rsid w:val="005B392A"/>
    <w:rsid w:val="005B3AA3"/>
    <w:rsid w:val="005B591A"/>
    <w:rsid w:val="005B6B2A"/>
    <w:rsid w:val="005B6F83"/>
    <w:rsid w:val="005C0E35"/>
    <w:rsid w:val="005C74FB"/>
    <w:rsid w:val="005D1602"/>
    <w:rsid w:val="005D71D3"/>
    <w:rsid w:val="005D7AFD"/>
    <w:rsid w:val="005E385F"/>
    <w:rsid w:val="005E45BB"/>
    <w:rsid w:val="005E5B81"/>
    <w:rsid w:val="005F02B5"/>
    <w:rsid w:val="005F2CB1"/>
    <w:rsid w:val="005F3025"/>
    <w:rsid w:val="005F4668"/>
    <w:rsid w:val="005F618C"/>
    <w:rsid w:val="005F70BD"/>
    <w:rsid w:val="0060283C"/>
    <w:rsid w:val="006045C2"/>
    <w:rsid w:val="00604F14"/>
    <w:rsid w:val="00611B83"/>
    <w:rsid w:val="00613257"/>
    <w:rsid w:val="00620A71"/>
    <w:rsid w:val="00620D80"/>
    <w:rsid w:val="00622905"/>
    <w:rsid w:val="006234A6"/>
    <w:rsid w:val="00624520"/>
    <w:rsid w:val="00625645"/>
    <w:rsid w:val="00630001"/>
    <w:rsid w:val="006311B3"/>
    <w:rsid w:val="00631CA0"/>
    <w:rsid w:val="0063284C"/>
    <w:rsid w:val="00635F3C"/>
    <w:rsid w:val="00636398"/>
    <w:rsid w:val="006368D3"/>
    <w:rsid w:val="006377EC"/>
    <w:rsid w:val="00637B08"/>
    <w:rsid w:val="0064151F"/>
    <w:rsid w:val="00641533"/>
    <w:rsid w:val="0064208D"/>
    <w:rsid w:val="00643448"/>
    <w:rsid w:val="00643475"/>
    <w:rsid w:val="0064396A"/>
    <w:rsid w:val="00645547"/>
    <w:rsid w:val="0064624E"/>
    <w:rsid w:val="00650AB9"/>
    <w:rsid w:val="00655733"/>
    <w:rsid w:val="00655ACD"/>
    <w:rsid w:val="00656A92"/>
    <w:rsid w:val="00656DDE"/>
    <w:rsid w:val="0066011D"/>
    <w:rsid w:val="006607C0"/>
    <w:rsid w:val="006613A6"/>
    <w:rsid w:val="00661E8E"/>
    <w:rsid w:val="006627A2"/>
    <w:rsid w:val="006628AA"/>
    <w:rsid w:val="006634E6"/>
    <w:rsid w:val="006655EE"/>
    <w:rsid w:val="00667EE7"/>
    <w:rsid w:val="00670922"/>
    <w:rsid w:val="00670BE1"/>
    <w:rsid w:val="0067218F"/>
    <w:rsid w:val="006741F2"/>
    <w:rsid w:val="00674CC3"/>
    <w:rsid w:val="00674EC3"/>
    <w:rsid w:val="00675C72"/>
    <w:rsid w:val="006771F9"/>
    <w:rsid w:val="006776D7"/>
    <w:rsid w:val="00681003"/>
    <w:rsid w:val="006817C9"/>
    <w:rsid w:val="00683ECE"/>
    <w:rsid w:val="006841E4"/>
    <w:rsid w:val="00690917"/>
    <w:rsid w:val="00691CAF"/>
    <w:rsid w:val="0069334B"/>
    <w:rsid w:val="00695FC2"/>
    <w:rsid w:val="00696949"/>
    <w:rsid w:val="00697052"/>
    <w:rsid w:val="006A2AEF"/>
    <w:rsid w:val="006A46FB"/>
    <w:rsid w:val="006A5E28"/>
    <w:rsid w:val="006A697B"/>
    <w:rsid w:val="006A7AFF"/>
    <w:rsid w:val="006B1816"/>
    <w:rsid w:val="006B1FCF"/>
    <w:rsid w:val="006B2099"/>
    <w:rsid w:val="006B25D4"/>
    <w:rsid w:val="006B50CF"/>
    <w:rsid w:val="006B739B"/>
    <w:rsid w:val="006C03B8"/>
    <w:rsid w:val="006C5EC9"/>
    <w:rsid w:val="006C6059"/>
    <w:rsid w:val="006C7522"/>
    <w:rsid w:val="006D03D3"/>
    <w:rsid w:val="006D2FD5"/>
    <w:rsid w:val="006D6F08"/>
    <w:rsid w:val="006E062C"/>
    <w:rsid w:val="006E28B7"/>
    <w:rsid w:val="006E3310"/>
    <w:rsid w:val="006E3C77"/>
    <w:rsid w:val="006E3EF4"/>
    <w:rsid w:val="006E4E39"/>
    <w:rsid w:val="006E565E"/>
    <w:rsid w:val="006E673D"/>
    <w:rsid w:val="006E7D3B"/>
    <w:rsid w:val="006F1B70"/>
    <w:rsid w:val="006F2537"/>
    <w:rsid w:val="006F2D23"/>
    <w:rsid w:val="006F341D"/>
    <w:rsid w:val="006F3CDE"/>
    <w:rsid w:val="006F58D4"/>
    <w:rsid w:val="0070346E"/>
    <w:rsid w:val="00704EDB"/>
    <w:rsid w:val="00706101"/>
    <w:rsid w:val="00707072"/>
    <w:rsid w:val="00707D61"/>
    <w:rsid w:val="00710464"/>
    <w:rsid w:val="00712287"/>
    <w:rsid w:val="00712772"/>
    <w:rsid w:val="007148D3"/>
    <w:rsid w:val="00715B9A"/>
    <w:rsid w:val="00726EA6"/>
    <w:rsid w:val="00727208"/>
    <w:rsid w:val="00727680"/>
    <w:rsid w:val="0073069E"/>
    <w:rsid w:val="007348B1"/>
    <w:rsid w:val="007362A6"/>
    <w:rsid w:val="00736853"/>
    <w:rsid w:val="00736D7D"/>
    <w:rsid w:val="00740E58"/>
    <w:rsid w:val="00742D52"/>
    <w:rsid w:val="007445A0"/>
    <w:rsid w:val="0074524B"/>
    <w:rsid w:val="00747D8B"/>
    <w:rsid w:val="00751228"/>
    <w:rsid w:val="007571E1"/>
    <w:rsid w:val="007604B2"/>
    <w:rsid w:val="0076142C"/>
    <w:rsid w:val="00765281"/>
    <w:rsid w:val="00766BAD"/>
    <w:rsid w:val="007730BD"/>
    <w:rsid w:val="007755F2"/>
    <w:rsid w:val="00776971"/>
    <w:rsid w:val="0078177E"/>
    <w:rsid w:val="0078304C"/>
    <w:rsid w:val="00783673"/>
    <w:rsid w:val="00785490"/>
    <w:rsid w:val="00790993"/>
    <w:rsid w:val="007925EA"/>
    <w:rsid w:val="00793CD8"/>
    <w:rsid w:val="00795C92"/>
    <w:rsid w:val="00796231"/>
    <w:rsid w:val="007A05A2"/>
    <w:rsid w:val="007A0F91"/>
    <w:rsid w:val="007A1CB3"/>
    <w:rsid w:val="007A306F"/>
    <w:rsid w:val="007A43A6"/>
    <w:rsid w:val="007A512C"/>
    <w:rsid w:val="007A58A6"/>
    <w:rsid w:val="007B1D19"/>
    <w:rsid w:val="007B3D2D"/>
    <w:rsid w:val="007B50AE"/>
    <w:rsid w:val="007B51DF"/>
    <w:rsid w:val="007C05DD"/>
    <w:rsid w:val="007C2BCF"/>
    <w:rsid w:val="007C3D18"/>
    <w:rsid w:val="007C60BF"/>
    <w:rsid w:val="007C6A07"/>
    <w:rsid w:val="007C75A1"/>
    <w:rsid w:val="007C77A5"/>
    <w:rsid w:val="007D04E5"/>
    <w:rsid w:val="007D23FA"/>
    <w:rsid w:val="007D5901"/>
    <w:rsid w:val="007D7526"/>
    <w:rsid w:val="007E4610"/>
    <w:rsid w:val="007E4715"/>
    <w:rsid w:val="007E505B"/>
    <w:rsid w:val="007E7091"/>
    <w:rsid w:val="007F04AC"/>
    <w:rsid w:val="007F44B6"/>
    <w:rsid w:val="00803FAE"/>
    <w:rsid w:val="0080605F"/>
    <w:rsid w:val="0080612C"/>
    <w:rsid w:val="0080640D"/>
    <w:rsid w:val="00807786"/>
    <w:rsid w:val="00807E28"/>
    <w:rsid w:val="00811FCB"/>
    <w:rsid w:val="008158D6"/>
    <w:rsid w:val="00817196"/>
    <w:rsid w:val="008235DB"/>
    <w:rsid w:val="00824AB4"/>
    <w:rsid w:val="008258A7"/>
    <w:rsid w:val="00825C42"/>
    <w:rsid w:val="00825D25"/>
    <w:rsid w:val="00827D6F"/>
    <w:rsid w:val="008376AC"/>
    <w:rsid w:val="008444E8"/>
    <w:rsid w:val="00844E80"/>
    <w:rsid w:val="00846FE7"/>
    <w:rsid w:val="00847D96"/>
    <w:rsid w:val="00854F97"/>
    <w:rsid w:val="00856911"/>
    <w:rsid w:val="008677FD"/>
    <w:rsid w:val="008706D4"/>
    <w:rsid w:val="00870F8A"/>
    <w:rsid w:val="008719A4"/>
    <w:rsid w:val="00871D23"/>
    <w:rsid w:val="008737B6"/>
    <w:rsid w:val="00874312"/>
    <w:rsid w:val="0087437C"/>
    <w:rsid w:val="00875CD7"/>
    <w:rsid w:val="00876B4D"/>
    <w:rsid w:val="00876C27"/>
    <w:rsid w:val="00877F18"/>
    <w:rsid w:val="00885347"/>
    <w:rsid w:val="00894A88"/>
    <w:rsid w:val="00895386"/>
    <w:rsid w:val="008A21FF"/>
    <w:rsid w:val="008A2CE2"/>
    <w:rsid w:val="008A30AC"/>
    <w:rsid w:val="008A44B8"/>
    <w:rsid w:val="008A51A8"/>
    <w:rsid w:val="008A54C7"/>
    <w:rsid w:val="008A77D8"/>
    <w:rsid w:val="008B0483"/>
    <w:rsid w:val="008B120C"/>
    <w:rsid w:val="008B51A0"/>
    <w:rsid w:val="008B592A"/>
    <w:rsid w:val="008B74C2"/>
    <w:rsid w:val="008B7B5C"/>
    <w:rsid w:val="008C0C99"/>
    <w:rsid w:val="008C2017"/>
    <w:rsid w:val="008C4958"/>
    <w:rsid w:val="008C4BAA"/>
    <w:rsid w:val="008C6AE8"/>
    <w:rsid w:val="008C6E67"/>
    <w:rsid w:val="008C7573"/>
    <w:rsid w:val="008D34F1"/>
    <w:rsid w:val="008D39D8"/>
    <w:rsid w:val="008D486B"/>
    <w:rsid w:val="008D6D1A"/>
    <w:rsid w:val="008E065E"/>
    <w:rsid w:val="008E0927"/>
    <w:rsid w:val="008E1909"/>
    <w:rsid w:val="008F1EAB"/>
    <w:rsid w:val="008F2FC6"/>
    <w:rsid w:val="008F33DC"/>
    <w:rsid w:val="008F3523"/>
    <w:rsid w:val="008F477F"/>
    <w:rsid w:val="008F4B4E"/>
    <w:rsid w:val="00902350"/>
    <w:rsid w:val="009028B1"/>
    <w:rsid w:val="0090336B"/>
    <w:rsid w:val="009053AA"/>
    <w:rsid w:val="00906939"/>
    <w:rsid w:val="00910B7D"/>
    <w:rsid w:val="00911DFB"/>
    <w:rsid w:val="00912626"/>
    <w:rsid w:val="009139D9"/>
    <w:rsid w:val="00914AD8"/>
    <w:rsid w:val="00914DB8"/>
    <w:rsid w:val="00916079"/>
    <w:rsid w:val="00917CE9"/>
    <w:rsid w:val="00920BF2"/>
    <w:rsid w:val="00922010"/>
    <w:rsid w:val="00922B91"/>
    <w:rsid w:val="00925EAF"/>
    <w:rsid w:val="00931BD9"/>
    <w:rsid w:val="00932CC9"/>
    <w:rsid w:val="009368F3"/>
    <w:rsid w:val="00941636"/>
    <w:rsid w:val="00943742"/>
    <w:rsid w:val="00945C05"/>
    <w:rsid w:val="00946945"/>
    <w:rsid w:val="00947713"/>
    <w:rsid w:val="00950DE7"/>
    <w:rsid w:val="00951636"/>
    <w:rsid w:val="00953920"/>
    <w:rsid w:val="00953D47"/>
    <w:rsid w:val="0095681E"/>
    <w:rsid w:val="009572D4"/>
    <w:rsid w:val="00961627"/>
    <w:rsid w:val="00961921"/>
    <w:rsid w:val="0096430A"/>
    <w:rsid w:val="0096554B"/>
    <w:rsid w:val="0096584A"/>
    <w:rsid w:val="00967293"/>
    <w:rsid w:val="009674F3"/>
    <w:rsid w:val="00971F08"/>
    <w:rsid w:val="0097603D"/>
    <w:rsid w:val="00976949"/>
    <w:rsid w:val="00980477"/>
    <w:rsid w:val="00985253"/>
    <w:rsid w:val="009853B3"/>
    <w:rsid w:val="00990630"/>
    <w:rsid w:val="00991761"/>
    <w:rsid w:val="00994DCA"/>
    <w:rsid w:val="009960EC"/>
    <w:rsid w:val="00996D59"/>
    <w:rsid w:val="009970DD"/>
    <w:rsid w:val="009A0FBA"/>
    <w:rsid w:val="009A1601"/>
    <w:rsid w:val="009A462D"/>
    <w:rsid w:val="009A57E0"/>
    <w:rsid w:val="009A5CBA"/>
    <w:rsid w:val="009B1F30"/>
    <w:rsid w:val="009B2947"/>
    <w:rsid w:val="009B3AC2"/>
    <w:rsid w:val="009B3D7A"/>
    <w:rsid w:val="009B4DF4"/>
    <w:rsid w:val="009B564E"/>
    <w:rsid w:val="009B7E87"/>
    <w:rsid w:val="009C403E"/>
    <w:rsid w:val="009D08EE"/>
    <w:rsid w:val="009D4FF0"/>
    <w:rsid w:val="009D703C"/>
    <w:rsid w:val="009D718F"/>
    <w:rsid w:val="009E068F"/>
    <w:rsid w:val="009E0FE9"/>
    <w:rsid w:val="009E14E0"/>
    <w:rsid w:val="009E1EF1"/>
    <w:rsid w:val="009E35DB"/>
    <w:rsid w:val="009E47A3"/>
    <w:rsid w:val="009F08F3"/>
    <w:rsid w:val="009F0E38"/>
    <w:rsid w:val="009F344F"/>
    <w:rsid w:val="00A048A8"/>
    <w:rsid w:val="00A04F49"/>
    <w:rsid w:val="00A06036"/>
    <w:rsid w:val="00A105B6"/>
    <w:rsid w:val="00A11D88"/>
    <w:rsid w:val="00A13E54"/>
    <w:rsid w:val="00A17F63"/>
    <w:rsid w:val="00A2052C"/>
    <w:rsid w:val="00A2193B"/>
    <w:rsid w:val="00A2351A"/>
    <w:rsid w:val="00A23B77"/>
    <w:rsid w:val="00A264A9"/>
    <w:rsid w:val="00A27785"/>
    <w:rsid w:val="00A30187"/>
    <w:rsid w:val="00A3448A"/>
    <w:rsid w:val="00A36297"/>
    <w:rsid w:val="00A41E2B"/>
    <w:rsid w:val="00A45B74"/>
    <w:rsid w:val="00A52E1D"/>
    <w:rsid w:val="00A61499"/>
    <w:rsid w:val="00A62A77"/>
    <w:rsid w:val="00A63483"/>
    <w:rsid w:val="00A64D38"/>
    <w:rsid w:val="00A6512D"/>
    <w:rsid w:val="00A657D7"/>
    <w:rsid w:val="00A660AC"/>
    <w:rsid w:val="00A664F0"/>
    <w:rsid w:val="00A66F55"/>
    <w:rsid w:val="00A67E6C"/>
    <w:rsid w:val="00A71B99"/>
    <w:rsid w:val="00A739D0"/>
    <w:rsid w:val="00A761D4"/>
    <w:rsid w:val="00A77EC4"/>
    <w:rsid w:val="00A92879"/>
    <w:rsid w:val="00A9442A"/>
    <w:rsid w:val="00AA016F"/>
    <w:rsid w:val="00AA1ED6"/>
    <w:rsid w:val="00AA4036"/>
    <w:rsid w:val="00AA51D6"/>
    <w:rsid w:val="00AB0BC8"/>
    <w:rsid w:val="00AB11CA"/>
    <w:rsid w:val="00AB14D9"/>
    <w:rsid w:val="00AB3D40"/>
    <w:rsid w:val="00AB4AB8"/>
    <w:rsid w:val="00AB655E"/>
    <w:rsid w:val="00AC007F"/>
    <w:rsid w:val="00AC2ECD"/>
    <w:rsid w:val="00AC3119"/>
    <w:rsid w:val="00AC49FB"/>
    <w:rsid w:val="00AC5A10"/>
    <w:rsid w:val="00AD0AA3"/>
    <w:rsid w:val="00AD250F"/>
    <w:rsid w:val="00AD3F94"/>
    <w:rsid w:val="00AD4447"/>
    <w:rsid w:val="00AD4A5A"/>
    <w:rsid w:val="00AE0E63"/>
    <w:rsid w:val="00AE27AC"/>
    <w:rsid w:val="00AE3743"/>
    <w:rsid w:val="00AE40E0"/>
    <w:rsid w:val="00AE4DBA"/>
    <w:rsid w:val="00AE4F07"/>
    <w:rsid w:val="00AF1C5D"/>
    <w:rsid w:val="00AF42D7"/>
    <w:rsid w:val="00B006FE"/>
    <w:rsid w:val="00B007CB"/>
    <w:rsid w:val="00B02AA9"/>
    <w:rsid w:val="00B02FA3"/>
    <w:rsid w:val="00B05084"/>
    <w:rsid w:val="00B067FB"/>
    <w:rsid w:val="00B157F9"/>
    <w:rsid w:val="00B20256"/>
    <w:rsid w:val="00B20D09"/>
    <w:rsid w:val="00B272DE"/>
    <w:rsid w:val="00B2763F"/>
    <w:rsid w:val="00B27AAC"/>
    <w:rsid w:val="00B30929"/>
    <w:rsid w:val="00B372AA"/>
    <w:rsid w:val="00B40445"/>
    <w:rsid w:val="00B41888"/>
    <w:rsid w:val="00B4393D"/>
    <w:rsid w:val="00B45A52"/>
    <w:rsid w:val="00B46175"/>
    <w:rsid w:val="00B54251"/>
    <w:rsid w:val="00B553FD"/>
    <w:rsid w:val="00B6188F"/>
    <w:rsid w:val="00B64559"/>
    <w:rsid w:val="00B664C7"/>
    <w:rsid w:val="00B739F6"/>
    <w:rsid w:val="00B7796A"/>
    <w:rsid w:val="00B802BD"/>
    <w:rsid w:val="00B81A6C"/>
    <w:rsid w:val="00B8384A"/>
    <w:rsid w:val="00B85DE5"/>
    <w:rsid w:val="00B863FE"/>
    <w:rsid w:val="00B8723E"/>
    <w:rsid w:val="00B90F73"/>
    <w:rsid w:val="00B91B97"/>
    <w:rsid w:val="00B93B59"/>
    <w:rsid w:val="00B9406A"/>
    <w:rsid w:val="00B94293"/>
    <w:rsid w:val="00BA079A"/>
    <w:rsid w:val="00BA2280"/>
    <w:rsid w:val="00BA2A08"/>
    <w:rsid w:val="00BA56D2"/>
    <w:rsid w:val="00BA76E0"/>
    <w:rsid w:val="00BB2A25"/>
    <w:rsid w:val="00BB51E9"/>
    <w:rsid w:val="00BC0FDC"/>
    <w:rsid w:val="00BC3053"/>
    <w:rsid w:val="00BC4D2E"/>
    <w:rsid w:val="00BD0A71"/>
    <w:rsid w:val="00BD48AC"/>
    <w:rsid w:val="00BD5530"/>
    <w:rsid w:val="00BD5F1A"/>
    <w:rsid w:val="00BE1234"/>
    <w:rsid w:val="00BE2357"/>
    <w:rsid w:val="00BE2FA6"/>
    <w:rsid w:val="00BE333F"/>
    <w:rsid w:val="00BE7406"/>
    <w:rsid w:val="00BE7603"/>
    <w:rsid w:val="00BE7BDE"/>
    <w:rsid w:val="00BF3279"/>
    <w:rsid w:val="00BF48BC"/>
    <w:rsid w:val="00BF74C7"/>
    <w:rsid w:val="00BF7934"/>
    <w:rsid w:val="00C015F1"/>
    <w:rsid w:val="00C01F33"/>
    <w:rsid w:val="00C02CC6"/>
    <w:rsid w:val="00C040F7"/>
    <w:rsid w:val="00C041B0"/>
    <w:rsid w:val="00C044AB"/>
    <w:rsid w:val="00C05706"/>
    <w:rsid w:val="00C07377"/>
    <w:rsid w:val="00C10478"/>
    <w:rsid w:val="00C12107"/>
    <w:rsid w:val="00C121D4"/>
    <w:rsid w:val="00C14D4B"/>
    <w:rsid w:val="00C154BB"/>
    <w:rsid w:val="00C24345"/>
    <w:rsid w:val="00C279B5"/>
    <w:rsid w:val="00C27C45"/>
    <w:rsid w:val="00C324B4"/>
    <w:rsid w:val="00C3719D"/>
    <w:rsid w:val="00C548D8"/>
    <w:rsid w:val="00C54995"/>
    <w:rsid w:val="00C54D41"/>
    <w:rsid w:val="00C5561B"/>
    <w:rsid w:val="00C60783"/>
    <w:rsid w:val="00C64672"/>
    <w:rsid w:val="00C65EAE"/>
    <w:rsid w:val="00C70697"/>
    <w:rsid w:val="00C72EF4"/>
    <w:rsid w:val="00C75D2F"/>
    <w:rsid w:val="00C767BE"/>
    <w:rsid w:val="00C76E3C"/>
    <w:rsid w:val="00C775F6"/>
    <w:rsid w:val="00C80749"/>
    <w:rsid w:val="00C81568"/>
    <w:rsid w:val="00C9027A"/>
    <w:rsid w:val="00C9068E"/>
    <w:rsid w:val="00C92FA6"/>
    <w:rsid w:val="00C93C4B"/>
    <w:rsid w:val="00C944AB"/>
    <w:rsid w:val="00C95B40"/>
    <w:rsid w:val="00CA1ED8"/>
    <w:rsid w:val="00CA5E34"/>
    <w:rsid w:val="00CB1F63"/>
    <w:rsid w:val="00CB2296"/>
    <w:rsid w:val="00CB3524"/>
    <w:rsid w:val="00CB7170"/>
    <w:rsid w:val="00CC000D"/>
    <w:rsid w:val="00CC040E"/>
    <w:rsid w:val="00CC111F"/>
    <w:rsid w:val="00CC2011"/>
    <w:rsid w:val="00CC3EA0"/>
    <w:rsid w:val="00CC7B45"/>
    <w:rsid w:val="00CD1188"/>
    <w:rsid w:val="00CD121F"/>
    <w:rsid w:val="00CD2ED1"/>
    <w:rsid w:val="00CD337B"/>
    <w:rsid w:val="00CE0424"/>
    <w:rsid w:val="00CE6BAD"/>
    <w:rsid w:val="00CE7561"/>
    <w:rsid w:val="00CF1354"/>
    <w:rsid w:val="00CF3B1F"/>
    <w:rsid w:val="00CF3BF6"/>
    <w:rsid w:val="00CF5282"/>
    <w:rsid w:val="00CF625B"/>
    <w:rsid w:val="00CF687E"/>
    <w:rsid w:val="00D020CC"/>
    <w:rsid w:val="00D0349B"/>
    <w:rsid w:val="00D07B29"/>
    <w:rsid w:val="00D10249"/>
    <w:rsid w:val="00D10F92"/>
    <w:rsid w:val="00D115C3"/>
    <w:rsid w:val="00D11897"/>
    <w:rsid w:val="00D13135"/>
    <w:rsid w:val="00D13E4E"/>
    <w:rsid w:val="00D236AF"/>
    <w:rsid w:val="00D239A7"/>
    <w:rsid w:val="00D23F47"/>
    <w:rsid w:val="00D36E71"/>
    <w:rsid w:val="00D37AE7"/>
    <w:rsid w:val="00D37D87"/>
    <w:rsid w:val="00D40B33"/>
    <w:rsid w:val="00D4318F"/>
    <w:rsid w:val="00D438BF"/>
    <w:rsid w:val="00D440F8"/>
    <w:rsid w:val="00D50F97"/>
    <w:rsid w:val="00D546FF"/>
    <w:rsid w:val="00D559E7"/>
    <w:rsid w:val="00D55AD5"/>
    <w:rsid w:val="00D56BE8"/>
    <w:rsid w:val="00D576CA"/>
    <w:rsid w:val="00D61AF5"/>
    <w:rsid w:val="00D63061"/>
    <w:rsid w:val="00D652B5"/>
    <w:rsid w:val="00D66155"/>
    <w:rsid w:val="00D708B0"/>
    <w:rsid w:val="00D74651"/>
    <w:rsid w:val="00D77B1D"/>
    <w:rsid w:val="00D8021F"/>
    <w:rsid w:val="00D80383"/>
    <w:rsid w:val="00D822A1"/>
    <w:rsid w:val="00D823C6"/>
    <w:rsid w:val="00D833A9"/>
    <w:rsid w:val="00D86CA3"/>
    <w:rsid w:val="00D871CE"/>
    <w:rsid w:val="00D9196D"/>
    <w:rsid w:val="00D92982"/>
    <w:rsid w:val="00D9541A"/>
    <w:rsid w:val="00D95B83"/>
    <w:rsid w:val="00DA305E"/>
    <w:rsid w:val="00DA5417"/>
    <w:rsid w:val="00DA56E8"/>
    <w:rsid w:val="00DB0A9F"/>
    <w:rsid w:val="00DB377D"/>
    <w:rsid w:val="00DB38AE"/>
    <w:rsid w:val="00DB575F"/>
    <w:rsid w:val="00DB6C25"/>
    <w:rsid w:val="00DC2D36"/>
    <w:rsid w:val="00DC53EF"/>
    <w:rsid w:val="00DE5608"/>
    <w:rsid w:val="00DE58D0"/>
    <w:rsid w:val="00DE654F"/>
    <w:rsid w:val="00DF0B6E"/>
    <w:rsid w:val="00DF15E0"/>
    <w:rsid w:val="00DF356A"/>
    <w:rsid w:val="00DF37A0"/>
    <w:rsid w:val="00E110E7"/>
    <w:rsid w:val="00E11B20"/>
    <w:rsid w:val="00E162FC"/>
    <w:rsid w:val="00E17FA2"/>
    <w:rsid w:val="00E22330"/>
    <w:rsid w:val="00E30B5A"/>
    <w:rsid w:val="00E3123D"/>
    <w:rsid w:val="00E31461"/>
    <w:rsid w:val="00E31D43"/>
    <w:rsid w:val="00E32608"/>
    <w:rsid w:val="00E34188"/>
    <w:rsid w:val="00E34B6E"/>
    <w:rsid w:val="00E35559"/>
    <w:rsid w:val="00E3723A"/>
    <w:rsid w:val="00E37860"/>
    <w:rsid w:val="00E43669"/>
    <w:rsid w:val="00E446F1"/>
    <w:rsid w:val="00E46886"/>
    <w:rsid w:val="00E47AEF"/>
    <w:rsid w:val="00E53B75"/>
    <w:rsid w:val="00E54E3B"/>
    <w:rsid w:val="00E57565"/>
    <w:rsid w:val="00E63838"/>
    <w:rsid w:val="00E64434"/>
    <w:rsid w:val="00E64B65"/>
    <w:rsid w:val="00E67C51"/>
    <w:rsid w:val="00E72EFC"/>
    <w:rsid w:val="00E74A2F"/>
    <w:rsid w:val="00E758EC"/>
    <w:rsid w:val="00E8234C"/>
    <w:rsid w:val="00E82C02"/>
    <w:rsid w:val="00E82F73"/>
    <w:rsid w:val="00E83AA9"/>
    <w:rsid w:val="00E85928"/>
    <w:rsid w:val="00E87822"/>
    <w:rsid w:val="00E90395"/>
    <w:rsid w:val="00E90E49"/>
    <w:rsid w:val="00E917F9"/>
    <w:rsid w:val="00E9291C"/>
    <w:rsid w:val="00E93FFE"/>
    <w:rsid w:val="00E94F8A"/>
    <w:rsid w:val="00E9582F"/>
    <w:rsid w:val="00EA7A41"/>
    <w:rsid w:val="00EB0280"/>
    <w:rsid w:val="00EB077B"/>
    <w:rsid w:val="00EB278E"/>
    <w:rsid w:val="00EB4EA2"/>
    <w:rsid w:val="00EB6C0B"/>
    <w:rsid w:val="00EC17D5"/>
    <w:rsid w:val="00EC27C6"/>
    <w:rsid w:val="00EC4207"/>
    <w:rsid w:val="00EC5653"/>
    <w:rsid w:val="00EC71CE"/>
    <w:rsid w:val="00ED1006"/>
    <w:rsid w:val="00ED1E13"/>
    <w:rsid w:val="00ED73DC"/>
    <w:rsid w:val="00EE28E2"/>
    <w:rsid w:val="00EE6805"/>
    <w:rsid w:val="00EF18FE"/>
    <w:rsid w:val="00EF5787"/>
    <w:rsid w:val="00EF60D0"/>
    <w:rsid w:val="00F03E54"/>
    <w:rsid w:val="00F0528D"/>
    <w:rsid w:val="00F06C67"/>
    <w:rsid w:val="00F06DFD"/>
    <w:rsid w:val="00F071D1"/>
    <w:rsid w:val="00F07533"/>
    <w:rsid w:val="00F10495"/>
    <w:rsid w:val="00F10629"/>
    <w:rsid w:val="00F15FA5"/>
    <w:rsid w:val="00F209B7"/>
    <w:rsid w:val="00F2376F"/>
    <w:rsid w:val="00F243D8"/>
    <w:rsid w:val="00F2621A"/>
    <w:rsid w:val="00F30828"/>
    <w:rsid w:val="00F313D6"/>
    <w:rsid w:val="00F40F0C"/>
    <w:rsid w:val="00F4766C"/>
    <w:rsid w:val="00F507D1"/>
    <w:rsid w:val="00F519CE"/>
    <w:rsid w:val="00F51ADA"/>
    <w:rsid w:val="00F52A9A"/>
    <w:rsid w:val="00F56B24"/>
    <w:rsid w:val="00F56B95"/>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1DD5"/>
    <w:rsid w:val="00F8456C"/>
    <w:rsid w:val="00F859D8"/>
    <w:rsid w:val="00F868F5"/>
    <w:rsid w:val="00F9056A"/>
    <w:rsid w:val="00F90F8D"/>
    <w:rsid w:val="00F920A1"/>
    <w:rsid w:val="00F92782"/>
    <w:rsid w:val="00F93AA9"/>
    <w:rsid w:val="00F95689"/>
    <w:rsid w:val="00F96985"/>
    <w:rsid w:val="00F97838"/>
    <w:rsid w:val="00FA2BB3"/>
    <w:rsid w:val="00FB2833"/>
    <w:rsid w:val="00FB4C80"/>
    <w:rsid w:val="00FB6A6A"/>
    <w:rsid w:val="00FC0D2A"/>
    <w:rsid w:val="00FC5F07"/>
    <w:rsid w:val="00FC6B78"/>
    <w:rsid w:val="00FC7429"/>
    <w:rsid w:val="00FD07F6"/>
    <w:rsid w:val="00FD1EC8"/>
    <w:rsid w:val="00FD47ED"/>
    <w:rsid w:val="00FD648C"/>
    <w:rsid w:val="00FD74DB"/>
    <w:rsid w:val="00FD7660"/>
    <w:rsid w:val="00FE0525"/>
    <w:rsid w:val="00FE0655"/>
    <w:rsid w:val="00FE2365"/>
    <w:rsid w:val="00FE4C7B"/>
    <w:rsid w:val="00FE4CDC"/>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69EB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403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AA403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AA403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AA403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AA4036"/>
    <w:pPr>
      <w:numPr>
        <w:ilvl w:val="3"/>
      </w:numPr>
      <w:outlineLvl w:val="3"/>
    </w:pPr>
    <w:rPr>
      <w:sz w:val="24"/>
      <w:szCs w:val="24"/>
    </w:rPr>
  </w:style>
  <w:style w:type="paragraph" w:styleId="Heading5">
    <w:name w:val="heading 5"/>
    <w:basedOn w:val="Heading4"/>
    <w:next w:val="Normal"/>
    <w:qFormat/>
    <w:rsid w:val="00AA4036"/>
    <w:pPr>
      <w:numPr>
        <w:ilvl w:val="4"/>
      </w:numPr>
      <w:outlineLvl w:val="4"/>
    </w:pPr>
    <w:rPr>
      <w:sz w:val="22"/>
      <w:szCs w:val="22"/>
    </w:rPr>
  </w:style>
  <w:style w:type="paragraph" w:styleId="Heading6">
    <w:name w:val="heading 6"/>
    <w:basedOn w:val="Normal"/>
    <w:next w:val="Normal"/>
    <w:qFormat/>
    <w:rsid w:val="00AA4036"/>
    <w:pPr>
      <w:keepNext/>
      <w:keepLines/>
      <w:numPr>
        <w:ilvl w:val="5"/>
        <w:numId w:val="1"/>
      </w:numPr>
      <w:spacing w:before="120"/>
      <w:outlineLvl w:val="5"/>
    </w:pPr>
    <w:rPr>
      <w:rFonts w:cs="Arial"/>
    </w:rPr>
  </w:style>
  <w:style w:type="paragraph" w:styleId="Heading7">
    <w:name w:val="heading 7"/>
    <w:basedOn w:val="Normal"/>
    <w:next w:val="Normal"/>
    <w:qFormat/>
    <w:rsid w:val="00AA4036"/>
    <w:pPr>
      <w:keepNext/>
      <w:keepLines/>
      <w:numPr>
        <w:ilvl w:val="6"/>
        <w:numId w:val="1"/>
      </w:numPr>
      <w:spacing w:before="120"/>
      <w:outlineLvl w:val="6"/>
    </w:pPr>
    <w:rPr>
      <w:rFonts w:cs="Arial"/>
    </w:rPr>
  </w:style>
  <w:style w:type="paragraph" w:styleId="Heading8">
    <w:name w:val="heading 8"/>
    <w:basedOn w:val="Heading7"/>
    <w:next w:val="Normal"/>
    <w:qFormat/>
    <w:rsid w:val="00AA4036"/>
    <w:pPr>
      <w:numPr>
        <w:ilvl w:val="7"/>
      </w:numPr>
      <w:outlineLvl w:val="7"/>
    </w:pPr>
  </w:style>
  <w:style w:type="paragraph" w:styleId="Heading9">
    <w:name w:val="heading 9"/>
    <w:basedOn w:val="Heading8"/>
    <w:next w:val="Normal"/>
    <w:qFormat/>
    <w:rsid w:val="00AA4036"/>
    <w:pPr>
      <w:numPr>
        <w:ilvl w:val="8"/>
      </w:numPr>
      <w:outlineLvl w:val="8"/>
    </w:pPr>
  </w:style>
  <w:style w:type="character" w:default="1" w:styleId="DefaultParagraphFont">
    <w:name w:val="Default Paragraph Font"/>
    <w:uiPriority w:val="1"/>
    <w:semiHidden/>
    <w:unhideWhenUsed/>
    <w:rsid w:val="00AA40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4036"/>
  </w:style>
  <w:style w:type="paragraph" w:styleId="TOC8">
    <w:name w:val="toc 8"/>
    <w:basedOn w:val="TOC1"/>
    <w:semiHidden/>
    <w:rsid w:val="00AA4036"/>
    <w:pPr>
      <w:spacing w:before="180"/>
      <w:ind w:left="2693" w:hanging="2693"/>
    </w:pPr>
    <w:rPr>
      <w:b w:val="0"/>
      <w:bCs/>
    </w:rPr>
  </w:style>
  <w:style w:type="paragraph" w:styleId="TOC1">
    <w:name w:val="toc 1"/>
    <w:aliases w:val="Observation TOC2"/>
    <w:uiPriority w:val="39"/>
    <w:rsid w:val="00AA403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A4036"/>
    <w:pPr>
      <w:keepNext/>
      <w:keepLines/>
      <w:spacing w:before="180"/>
      <w:jc w:val="center"/>
    </w:pPr>
  </w:style>
  <w:style w:type="paragraph" w:styleId="Caption">
    <w:name w:val="caption"/>
    <w:basedOn w:val="Normal"/>
    <w:next w:val="Normal"/>
    <w:qFormat/>
    <w:rsid w:val="00AA4036"/>
    <w:pPr>
      <w:spacing w:after="240"/>
      <w:jc w:val="center"/>
    </w:pPr>
    <w:rPr>
      <w:b/>
      <w:bCs/>
    </w:rPr>
  </w:style>
  <w:style w:type="paragraph" w:styleId="TOC5">
    <w:name w:val="toc 5"/>
    <w:aliases w:val="Observation TOC"/>
    <w:basedOn w:val="TOC4"/>
    <w:semiHidden/>
    <w:rsid w:val="00AA4036"/>
    <w:pPr>
      <w:tabs>
        <w:tab w:val="right" w:pos="1701"/>
      </w:tabs>
      <w:ind w:left="1701" w:hanging="1701"/>
    </w:pPr>
  </w:style>
  <w:style w:type="paragraph" w:styleId="TOC4">
    <w:name w:val="toc 4"/>
    <w:basedOn w:val="TOC3"/>
    <w:semiHidden/>
    <w:rsid w:val="00AA4036"/>
    <w:pPr>
      <w:ind w:left="1418" w:hanging="1418"/>
    </w:pPr>
  </w:style>
  <w:style w:type="paragraph" w:styleId="TOC3">
    <w:name w:val="toc 3"/>
    <w:basedOn w:val="TOC2"/>
    <w:semiHidden/>
    <w:rsid w:val="00AA4036"/>
    <w:pPr>
      <w:ind w:left="1134" w:hanging="1134"/>
    </w:pPr>
  </w:style>
  <w:style w:type="paragraph" w:styleId="TOC2">
    <w:name w:val="toc 2"/>
    <w:basedOn w:val="TOC1"/>
    <w:semiHidden/>
    <w:rsid w:val="00AA4036"/>
    <w:pPr>
      <w:keepNext w:val="0"/>
      <w:spacing w:before="0"/>
      <w:ind w:left="851" w:hanging="851"/>
    </w:pPr>
    <w:rPr>
      <w:szCs w:val="20"/>
    </w:rPr>
  </w:style>
  <w:style w:type="paragraph" w:styleId="Index2">
    <w:name w:val="index 2"/>
    <w:basedOn w:val="Index1"/>
    <w:semiHidden/>
    <w:rsid w:val="00AA4036"/>
    <w:pPr>
      <w:ind w:left="284"/>
    </w:pPr>
  </w:style>
  <w:style w:type="paragraph" w:styleId="Index1">
    <w:name w:val="index 1"/>
    <w:basedOn w:val="Normal"/>
    <w:semiHidden/>
    <w:rsid w:val="00AA4036"/>
    <w:pPr>
      <w:keepLines/>
      <w:spacing w:after="0"/>
    </w:pPr>
  </w:style>
  <w:style w:type="paragraph" w:styleId="DocumentMap">
    <w:name w:val="Document Map"/>
    <w:basedOn w:val="Normal"/>
    <w:semiHidden/>
    <w:rsid w:val="00AA4036"/>
    <w:pPr>
      <w:shd w:val="clear" w:color="auto" w:fill="000080"/>
    </w:pPr>
    <w:rPr>
      <w:rFonts w:ascii="Tahoma" w:hAnsi="Tahoma" w:cs="Tahoma"/>
    </w:rPr>
  </w:style>
  <w:style w:type="paragraph" w:styleId="ListNumber2">
    <w:name w:val="List Number 2"/>
    <w:basedOn w:val="ListNumber"/>
    <w:rsid w:val="00AA4036"/>
    <w:pPr>
      <w:ind w:left="851"/>
    </w:pPr>
  </w:style>
  <w:style w:type="paragraph" w:styleId="ListNumber">
    <w:name w:val="List Number"/>
    <w:basedOn w:val="List"/>
    <w:rsid w:val="00AA4036"/>
  </w:style>
  <w:style w:type="paragraph" w:styleId="List">
    <w:name w:val="List"/>
    <w:basedOn w:val="Normal"/>
    <w:rsid w:val="00AA4036"/>
    <w:pPr>
      <w:ind w:left="568" w:hanging="284"/>
    </w:pPr>
  </w:style>
  <w:style w:type="paragraph" w:styleId="Header">
    <w:name w:val="header"/>
    <w:rsid w:val="00AA403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A4036"/>
    <w:rPr>
      <w:b/>
      <w:bCs/>
      <w:position w:val="6"/>
      <w:sz w:val="16"/>
      <w:szCs w:val="16"/>
    </w:rPr>
  </w:style>
  <w:style w:type="paragraph" w:styleId="FootnoteText">
    <w:name w:val="footnote text"/>
    <w:basedOn w:val="Normal"/>
    <w:semiHidden/>
    <w:rsid w:val="00AA4036"/>
    <w:pPr>
      <w:keepLines/>
      <w:spacing w:after="0"/>
      <w:ind w:left="454" w:hanging="454"/>
    </w:pPr>
    <w:rPr>
      <w:sz w:val="16"/>
      <w:szCs w:val="16"/>
    </w:rPr>
  </w:style>
  <w:style w:type="paragraph" w:customStyle="1" w:styleId="3GPPHeader">
    <w:name w:val="3GPP_Header"/>
    <w:basedOn w:val="Normal"/>
    <w:rsid w:val="00AA4036"/>
    <w:pPr>
      <w:tabs>
        <w:tab w:val="left" w:pos="1701"/>
        <w:tab w:val="right" w:pos="9639"/>
      </w:tabs>
      <w:spacing w:after="240"/>
    </w:pPr>
    <w:rPr>
      <w:b/>
      <w:sz w:val="24"/>
    </w:rPr>
  </w:style>
  <w:style w:type="paragraph" w:styleId="TOC9">
    <w:name w:val="toc 9"/>
    <w:basedOn w:val="TOC8"/>
    <w:semiHidden/>
    <w:rsid w:val="00AA4036"/>
    <w:pPr>
      <w:ind w:left="1418" w:hanging="1418"/>
    </w:pPr>
  </w:style>
  <w:style w:type="paragraph" w:styleId="TOC6">
    <w:name w:val="toc 6"/>
    <w:basedOn w:val="TOC5"/>
    <w:next w:val="Normal"/>
    <w:semiHidden/>
    <w:rsid w:val="00AA4036"/>
    <w:pPr>
      <w:ind w:left="1985" w:hanging="1985"/>
    </w:pPr>
  </w:style>
  <w:style w:type="paragraph" w:styleId="TOC7">
    <w:name w:val="toc 7"/>
    <w:basedOn w:val="TOC6"/>
    <w:next w:val="Normal"/>
    <w:semiHidden/>
    <w:rsid w:val="00AA4036"/>
    <w:pPr>
      <w:ind w:left="2268" w:hanging="2268"/>
    </w:pPr>
  </w:style>
  <w:style w:type="paragraph" w:styleId="ListBullet2">
    <w:name w:val="List Bullet 2"/>
    <w:basedOn w:val="ListBullet"/>
    <w:rsid w:val="00AA4036"/>
    <w:pPr>
      <w:numPr>
        <w:numId w:val="6"/>
      </w:numPr>
    </w:pPr>
  </w:style>
  <w:style w:type="paragraph" w:styleId="ListBullet">
    <w:name w:val="List Bullet"/>
    <w:basedOn w:val="BodyText"/>
    <w:rsid w:val="00AA4036"/>
    <w:pPr>
      <w:numPr>
        <w:numId w:val="5"/>
      </w:numPr>
    </w:pPr>
  </w:style>
  <w:style w:type="paragraph" w:styleId="ListBullet3">
    <w:name w:val="List Bullet 3"/>
    <w:basedOn w:val="ListBullet2"/>
    <w:rsid w:val="00AA4036"/>
    <w:pPr>
      <w:numPr>
        <w:numId w:val="7"/>
      </w:numPr>
    </w:pPr>
  </w:style>
  <w:style w:type="paragraph" w:customStyle="1" w:styleId="EQ">
    <w:name w:val="EQ"/>
    <w:basedOn w:val="Normal"/>
    <w:next w:val="Normal"/>
    <w:rsid w:val="00AA4036"/>
    <w:pPr>
      <w:keepLines/>
      <w:tabs>
        <w:tab w:val="center" w:pos="4536"/>
        <w:tab w:val="right" w:pos="9072"/>
      </w:tabs>
      <w:spacing w:after="180"/>
      <w:jc w:val="left"/>
    </w:pPr>
    <w:rPr>
      <w:noProof/>
      <w:lang w:eastAsia="en-US"/>
    </w:rPr>
  </w:style>
  <w:style w:type="paragraph" w:styleId="List2">
    <w:name w:val="List 2"/>
    <w:basedOn w:val="List"/>
    <w:rsid w:val="00AA4036"/>
    <w:pPr>
      <w:ind w:left="851"/>
    </w:pPr>
  </w:style>
  <w:style w:type="paragraph" w:styleId="List3">
    <w:name w:val="List 3"/>
    <w:basedOn w:val="List2"/>
    <w:rsid w:val="00AA4036"/>
    <w:pPr>
      <w:ind w:left="1135"/>
    </w:pPr>
  </w:style>
  <w:style w:type="paragraph" w:styleId="List4">
    <w:name w:val="List 4"/>
    <w:basedOn w:val="List3"/>
    <w:rsid w:val="00AA4036"/>
    <w:pPr>
      <w:ind w:left="1418"/>
    </w:pPr>
  </w:style>
  <w:style w:type="paragraph" w:styleId="List5">
    <w:name w:val="List 5"/>
    <w:basedOn w:val="List4"/>
    <w:rsid w:val="00AA4036"/>
    <w:pPr>
      <w:ind w:left="1702"/>
    </w:pPr>
  </w:style>
  <w:style w:type="paragraph" w:customStyle="1" w:styleId="EditorsNote">
    <w:name w:val="Editor's Note"/>
    <w:basedOn w:val="Normal"/>
    <w:rsid w:val="00AA4036"/>
    <w:pPr>
      <w:keepLines/>
      <w:spacing w:after="180"/>
      <w:ind w:left="1135" w:hanging="851"/>
      <w:jc w:val="left"/>
    </w:pPr>
    <w:rPr>
      <w:color w:val="FF0000"/>
      <w:lang w:eastAsia="en-US"/>
    </w:rPr>
  </w:style>
  <w:style w:type="paragraph" w:styleId="ListBullet4">
    <w:name w:val="List Bullet 4"/>
    <w:basedOn w:val="ListBullet3"/>
    <w:rsid w:val="00AA4036"/>
    <w:pPr>
      <w:numPr>
        <w:numId w:val="8"/>
      </w:numPr>
    </w:pPr>
  </w:style>
  <w:style w:type="paragraph" w:styleId="ListBullet5">
    <w:name w:val="List Bullet 5"/>
    <w:basedOn w:val="ListBullet4"/>
    <w:rsid w:val="00AA4036"/>
    <w:pPr>
      <w:numPr>
        <w:numId w:val="4"/>
      </w:numPr>
    </w:pPr>
  </w:style>
  <w:style w:type="paragraph" w:styleId="Footer">
    <w:name w:val="footer"/>
    <w:basedOn w:val="Header"/>
    <w:semiHidden/>
    <w:rsid w:val="00AA4036"/>
    <w:pPr>
      <w:jc w:val="center"/>
    </w:pPr>
    <w:rPr>
      <w:i/>
      <w:iCs/>
    </w:rPr>
  </w:style>
  <w:style w:type="paragraph" w:customStyle="1" w:styleId="Reference">
    <w:name w:val="Reference"/>
    <w:basedOn w:val="Normal"/>
    <w:rsid w:val="00AA4036"/>
    <w:pPr>
      <w:numPr>
        <w:numId w:val="2"/>
      </w:numPr>
    </w:pPr>
  </w:style>
  <w:style w:type="paragraph" w:styleId="BalloonText">
    <w:name w:val="Balloon Text"/>
    <w:basedOn w:val="Normal"/>
    <w:semiHidden/>
    <w:rsid w:val="00AA4036"/>
    <w:rPr>
      <w:rFonts w:ascii="Tahoma" w:hAnsi="Tahoma" w:cs="Tahoma"/>
      <w:sz w:val="16"/>
      <w:szCs w:val="16"/>
    </w:rPr>
  </w:style>
  <w:style w:type="character" w:styleId="PageNumber">
    <w:name w:val="page number"/>
    <w:basedOn w:val="DefaultParagraphFont"/>
    <w:semiHidden/>
    <w:rsid w:val="00AA4036"/>
  </w:style>
  <w:style w:type="paragraph" w:styleId="BodyText">
    <w:name w:val="Body Text"/>
    <w:basedOn w:val="Normal"/>
    <w:link w:val="BodyTextChar"/>
    <w:rsid w:val="00AA4036"/>
  </w:style>
  <w:style w:type="character" w:styleId="Hyperlink">
    <w:name w:val="Hyperlink"/>
    <w:uiPriority w:val="99"/>
    <w:rsid w:val="00AA4036"/>
    <w:rPr>
      <w:color w:val="0000FF"/>
      <w:u w:val="single"/>
      <w:lang w:val="en-GB"/>
    </w:rPr>
  </w:style>
  <w:style w:type="character" w:styleId="FollowedHyperlink">
    <w:name w:val="FollowedHyperlink"/>
    <w:semiHidden/>
    <w:rsid w:val="00AA4036"/>
    <w:rPr>
      <w:color w:val="FF0000"/>
      <w:u w:val="single"/>
    </w:rPr>
  </w:style>
  <w:style w:type="character" w:styleId="CommentReference">
    <w:name w:val="annotation reference"/>
    <w:semiHidden/>
    <w:rsid w:val="00AA4036"/>
    <w:rPr>
      <w:sz w:val="16"/>
      <w:szCs w:val="16"/>
    </w:rPr>
  </w:style>
  <w:style w:type="paragraph" w:styleId="CommentText">
    <w:name w:val="annotation text"/>
    <w:basedOn w:val="Normal"/>
    <w:semiHidden/>
    <w:rsid w:val="00AA4036"/>
  </w:style>
  <w:style w:type="paragraph" w:styleId="CommentSubject">
    <w:name w:val="annotation subject"/>
    <w:basedOn w:val="CommentText"/>
    <w:next w:val="CommentText"/>
    <w:semiHidden/>
    <w:rsid w:val="00AA4036"/>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A4036"/>
    <w:rPr>
      <w:rFonts w:ascii="Arial" w:hAnsi="Arial" w:cs="Arial"/>
      <w:sz w:val="36"/>
      <w:szCs w:val="36"/>
      <w:lang w:val="en-GB" w:eastAsia="zh-CN"/>
    </w:rPr>
  </w:style>
  <w:style w:type="paragraph" w:customStyle="1" w:styleId="B1">
    <w:name w:val="B1"/>
    <w:basedOn w:val="List"/>
    <w:rsid w:val="00AA4036"/>
    <w:pPr>
      <w:spacing w:after="180"/>
      <w:jc w:val="left"/>
    </w:pPr>
    <w:rPr>
      <w:lang w:eastAsia="en-US"/>
    </w:rPr>
  </w:style>
  <w:style w:type="paragraph" w:customStyle="1" w:styleId="B2">
    <w:name w:val="B2"/>
    <w:basedOn w:val="List2"/>
    <w:rsid w:val="00AA4036"/>
    <w:pPr>
      <w:spacing w:after="180"/>
      <w:jc w:val="left"/>
    </w:pPr>
    <w:rPr>
      <w:lang w:eastAsia="en-US"/>
    </w:rPr>
  </w:style>
  <w:style w:type="paragraph" w:customStyle="1" w:styleId="B3">
    <w:name w:val="B3"/>
    <w:basedOn w:val="List3"/>
    <w:rsid w:val="00AA4036"/>
    <w:pPr>
      <w:spacing w:after="180"/>
      <w:jc w:val="left"/>
    </w:pPr>
    <w:rPr>
      <w:lang w:eastAsia="en-US"/>
    </w:rPr>
  </w:style>
  <w:style w:type="paragraph" w:customStyle="1" w:styleId="B4">
    <w:name w:val="B4"/>
    <w:basedOn w:val="List4"/>
    <w:rsid w:val="00AA4036"/>
    <w:pPr>
      <w:spacing w:after="180"/>
      <w:jc w:val="left"/>
    </w:pPr>
    <w:rPr>
      <w:lang w:eastAsia="en-US"/>
    </w:rPr>
  </w:style>
  <w:style w:type="paragraph" w:customStyle="1" w:styleId="Proposal">
    <w:name w:val="Proposal"/>
    <w:basedOn w:val="Normal"/>
    <w:rsid w:val="00AA4036"/>
    <w:pPr>
      <w:numPr>
        <w:numId w:val="3"/>
      </w:numPr>
      <w:tabs>
        <w:tab w:val="clear" w:pos="1304"/>
        <w:tab w:val="left" w:pos="1701"/>
      </w:tabs>
      <w:ind w:left="1701" w:hanging="1701"/>
    </w:pPr>
    <w:rPr>
      <w:b/>
      <w:bCs/>
    </w:rPr>
  </w:style>
  <w:style w:type="character" w:customStyle="1" w:styleId="BodyTextChar">
    <w:name w:val="Body Text Char"/>
    <w:link w:val="BodyText"/>
    <w:rsid w:val="00AA4036"/>
    <w:rPr>
      <w:rFonts w:ascii="Arial" w:hAnsi="Arial"/>
      <w:lang w:val="en-GB" w:eastAsia="zh-CN"/>
    </w:rPr>
  </w:style>
  <w:style w:type="paragraph" w:customStyle="1" w:styleId="B5">
    <w:name w:val="B5"/>
    <w:basedOn w:val="List5"/>
    <w:rsid w:val="00AA4036"/>
    <w:pPr>
      <w:spacing w:after="180"/>
      <w:jc w:val="left"/>
    </w:pPr>
    <w:rPr>
      <w:lang w:eastAsia="en-US"/>
    </w:rPr>
  </w:style>
  <w:style w:type="paragraph" w:customStyle="1" w:styleId="EX">
    <w:name w:val="EX"/>
    <w:basedOn w:val="Normal"/>
    <w:rsid w:val="00AA4036"/>
    <w:pPr>
      <w:keepLines/>
      <w:spacing w:after="180"/>
      <w:ind w:left="1702" w:hanging="1418"/>
      <w:jc w:val="left"/>
    </w:pPr>
    <w:rPr>
      <w:lang w:eastAsia="en-US"/>
    </w:rPr>
  </w:style>
  <w:style w:type="paragraph" w:customStyle="1" w:styleId="EW">
    <w:name w:val="EW"/>
    <w:basedOn w:val="EX"/>
    <w:rsid w:val="00AA4036"/>
    <w:pPr>
      <w:spacing w:after="0"/>
    </w:pPr>
  </w:style>
  <w:style w:type="paragraph" w:customStyle="1" w:styleId="TAL">
    <w:name w:val="TAL"/>
    <w:basedOn w:val="Normal"/>
    <w:rsid w:val="00AA4036"/>
    <w:pPr>
      <w:keepNext/>
      <w:keepLines/>
      <w:spacing w:after="0"/>
      <w:jc w:val="left"/>
    </w:pPr>
    <w:rPr>
      <w:sz w:val="18"/>
      <w:lang w:eastAsia="en-US"/>
    </w:rPr>
  </w:style>
  <w:style w:type="paragraph" w:customStyle="1" w:styleId="TAC">
    <w:name w:val="TAC"/>
    <w:basedOn w:val="TAL"/>
    <w:rsid w:val="00AA4036"/>
    <w:pPr>
      <w:jc w:val="center"/>
    </w:pPr>
  </w:style>
  <w:style w:type="paragraph" w:customStyle="1" w:styleId="TAH">
    <w:name w:val="TAH"/>
    <w:basedOn w:val="TAC"/>
    <w:rsid w:val="00AA4036"/>
    <w:rPr>
      <w:b/>
    </w:rPr>
  </w:style>
  <w:style w:type="paragraph" w:customStyle="1" w:styleId="TAN">
    <w:name w:val="TAN"/>
    <w:basedOn w:val="TAL"/>
    <w:rsid w:val="00AA4036"/>
    <w:pPr>
      <w:ind w:left="851" w:hanging="851"/>
    </w:pPr>
  </w:style>
  <w:style w:type="paragraph" w:customStyle="1" w:styleId="TAR">
    <w:name w:val="TAR"/>
    <w:basedOn w:val="TAL"/>
    <w:rsid w:val="00AA4036"/>
    <w:pPr>
      <w:jc w:val="right"/>
    </w:pPr>
  </w:style>
  <w:style w:type="paragraph" w:customStyle="1" w:styleId="TH">
    <w:name w:val="TH"/>
    <w:basedOn w:val="Normal"/>
    <w:link w:val="THChar"/>
    <w:rsid w:val="00AA4036"/>
    <w:pPr>
      <w:keepNext/>
      <w:keepLines/>
      <w:spacing w:before="60" w:after="180"/>
      <w:jc w:val="center"/>
    </w:pPr>
    <w:rPr>
      <w:b/>
      <w:lang w:eastAsia="en-US"/>
    </w:rPr>
  </w:style>
  <w:style w:type="paragraph" w:customStyle="1" w:styleId="TF">
    <w:name w:val="TF"/>
    <w:basedOn w:val="TH"/>
    <w:link w:val="TFChar"/>
    <w:rsid w:val="00AA4036"/>
    <w:pPr>
      <w:keepNext w:val="0"/>
      <w:spacing w:before="0" w:after="240"/>
    </w:pPr>
  </w:style>
  <w:style w:type="paragraph" w:customStyle="1" w:styleId="TT">
    <w:name w:val="TT"/>
    <w:basedOn w:val="Heading1"/>
    <w:next w:val="Normal"/>
    <w:rsid w:val="00AA4036"/>
    <w:pPr>
      <w:numPr>
        <w:numId w:val="0"/>
      </w:numPr>
      <w:ind w:left="1134" w:hanging="1134"/>
      <w:outlineLvl w:val="9"/>
    </w:pPr>
    <w:rPr>
      <w:rFonts w:cs="Times New Roman"/>
      <w:szCs w:val="20"/>
      <w:lang w:eastAsia="en-US"/>
    </w:rPr>
  </w:style>
  <w:style w:type="paragraph" w:customStyle="1" w:styleId="ZA">
    <w:name w:val="ZA"/>
    <w:rsid w:val="00AA40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A40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A403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A403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A4036"/>
  </w:style>
  <w:style w:type="paragraph" w:customStyle="1" w:styleId="ZH">
    <w:name w:val="ZH"/>
    <w:rsid w:val="00AA403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A40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A4036"/>
    <w:pPr>
      <w:framePr w:hRule="auto" w:wrap="notBeside" w:y="852"/>
    </w:pPr>
    <w:rPr>
      <w:i w:val="0"/>
      <w:sz w:val="40"/>
    </w:rPr>
  </w:style>
  <w:style w:type="paragraph" w:customStyle="1" w:styleId="ZU">
    <w:name w:val="ZU"/>
    <w:rsid w:val="00AA40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A4036"/>
    <w:pPr>
      <w:framePr w:wrap="notBeside" w:y="16161"/>
    </w:pPr>
  </w:style>
  <w:style w:type="paragraph" w:customStyle="1" w:styleId="FP">
    <w:name w:val="FP"/>
    <w:basedOn w:val="Normal"/>
    <w:rsid w:val="00AA4036"/>
    <w:pPr>
      <w:spacing w:after="0"/>
      <w:jc w:val="left"/>
    </w:pPr>
    <w:rPr>
      <w:lang w:eastAsia="en-US"/>
    </w:rPr>
  </w:style>
  <w:style w:type="paragraph" w:customStyle="1" w:styleId="Observation">
    <w:name w:val="Observation"/>
    <w:basedOn w:val="Proposal"/>
    <w:qFormat/>
    <w:rsid w:val="00AA4036"/>
    <w:pPr>
      <w:numPr>
        <w:numId w:val="13"/>
      </w:numPr>
      <w:ind w:left="1701" w:hanging="1701"/>
    </w:pPr>
  </w:style>
  <w:style w:type="paragraph" w:styleId="TableofFigures">
    <w:name w:val="table of figures"/>
    <w:basedOn w:val="Normal"/>
    <w:next w:val="Normal"/>
    <w:uiPriority w:val="99"/>
    <w:rsid w:val="00AA4036"/>
    <w:pPr>
      <w:ind w:left="1418" w:hanging="1418"/>
      <w:jc w:val="left"/>
    </w:pPr>
    <w:rPr>
      <w:b/>
    </w:rPr>
  </w:style>
  <w:style w:type="paragraph" w:customStyle="1" w:styleId="Doc-text2">
    <w:name w:val="Doc-text2"/>
    <w:basedOn w:val="Normal"/>
    <w:link w:val="Doc-text2Char"/>
    <w:qFormat/>
    <w:rsid w:val="00AA403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A4036"/>
    <w:rPr>
      <w:rFonts w:ascii="Arial" w:eastAsia="MS Mincho" w:hAnsi="Arial"/>
      <w:szCs w:val="24"/>
      <w:lang w:val="en-GB" w:eastAsia="en-GB"/>
    </w:rPr>
  </w:style>
  <w:style w:type="paragraph" w:styleId="ListParagraph">
    <w:name w:val="List Paragraph"/>
    <w:basedOn w:val="Normal"/>
    <w:link w:val="ListParagraphChar"/>
    <w:uiPriority w:val="34"/>
    <w:qFormat/>
    <w:rsid w:val="00D63061"/>
    <w:pPr>
      <w:ind w:left="720"/>
      <w:contextualSpacing/>
    </w:pPr>
  </w:style>
  <w:style w:type="character" w:customStyle="1" w:styleId="ListParagraphChar">
    <w:name w:val="List Paragraph Char"/>
    <w:link w:val="ListParagraph"/>
    <w:uiPriority w:val="34"/>
    <w:locked/>
    <w:rsid w:val="00D63061"/>
    <w:rPr>
      <w:rFonts w:ascii="Arial" w:hAnsi="Arial"/>
      <w:lang w:val="en-GB" w:eastAsia="zh-CN"/>
    </w:rPr>
  </w:style>
  <w:style w:type="character" w:customStyle="1" w:styleId="THChar">
    <w:name w:val="TH Char"/>
    <w:link w:val="TH"/>
    <w:rsid w:val="00D63061"/>
    <w:rPr>
      <w:rFonts w:ascii="Arial" w:hAnsi="Arial"/>
      <w:b/>
      <w:lang w:val="en-GB"/>
    </w:rPr>
  </w:style>
  <w:style w:type="character" w:customStyle="1" w:styleId="TFChar">
    <w:name w:val="TF Char"/>
    <w:link w:val="TF"/>
    <w:rsid w:val="00D63061"/>
    <w:rPr>
      <w:rFonts w:ascii="Arial" w:hAnsi="Arial"/>
      <w:b/>
      <w:lang w:val="en-GB"/>
    </w:rPr>
  </w:style>
  <w:style w:type="paragraph" w:customStyle="1" w:styleId="IvDInstructiontext">
    <w:name w:val="IvD Instructiontext"/>
    <w:basedOn w:val="BodyText"/>
    <w:link w:val="IvDInstructiontextChar"/>
    <w:uiPriority w:val="99"/>
    <w:qFormat/>
    <w:rsid w:val="005448A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448A1"/>
    <w:rPr>
      <w:rFonts w:ascii="Arial" w:hAnsi="Arial"/>
      <w:i/>
      <w:color w:val="7F7F7F" w:themeColor="text1" w:themeTint="80"/>
      <w:spacing w:val="2"/>
      <w:sz w:val="18"/>
      <w:szCs w:val="18"/>
    </w:rPr>
  </w:style>
  <w:style w:type="paragraph" w:styleId="PlainText">
    <w:name w:val="Plain Text"/>
    <w:basedOn w:val="Normal"/>
    <w:link w:val="PlainTextChar"/>
    <w:rsid w:val="00091D30"/>
    <w:pPr>
      <w:spacing w:after="0"/>
    </w:pPr>
    <w:rPr>
      <w:rFonts w:ascii="Consolas" w:hAnsi="Consolas" w:cs="Consolas"/>
      <w:sz w:val="21"/>
      <w:szCs w:val="21"/>
    </w:rPr>
  </w:style>
  <w:style w:type="character" w:customStyle="1" w:styleId="PlainTextChar">
    <w:name w:val="Plain Text Char"/>
    <w:basedOn w:val="DefaultParagraphFont"/>
    <w:link w:val="PlainText"/>
    <w:rsid w:val="00091D30"/>
    <w:rPr>
      <w:rFonts w:ascii="Consolas" w:hAnsi="Consolas" w:cs="Consolas"/>
      <w:sz w:val="21"/>
      <w:szCs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35214">
      <w:bodyDiv w:val="1"/>
      <w:marLeft w:val="0"/>
      <w:marRight w:val="0"/>
      <w:marTop w:val="0"/>
      <w:marBottom w:val="0"/>
      <w:divBdr>
        <w:top w:val="none" w:sz="0" w:space="0" w:color="auto"/>
        <w:left w:val="none" w:sz="0" w:space="0" w:color="auto"/>
        <w:bottom w:val="none" w:sz="0" w:space="0" w:color="auto"/>
        <w:right w:val="none" w:sz="0" w:space="0" w:color="auto"/>
      </w:divBdr>
      <w:divsChild>
        <w:div w:id="876163592">
          <w:marLeft w:val="0"/>
          <w:marRight w:val="0"/>
          <w:marTop w:val="0"/>
          <w:marBottom w:val="0"/>
          <w:divBdr>
            <w:top w:val="none" w:sz="0" w:space="0" w:color="auto"/>
            <w:left w:val="none" w:sz="0" w:space="0" w:color="auto"/>
            <w:bottom w:val="none" w:sz="0" w:space="0" w:color="auto"/>
            <w:right w:val="none" w:sz="0" w:space="0" w:color="auto"/>
          </w:divBdr>
          <w:divsChild>
            <w:div w:id="1639217562">
              <w:marLeft w:val="0"/>
              <w:marRight w:val="0"/>
              <w:marTop w:val="0"/>
              <w:marBottom w:val="0"/>
              <w:divBdr>
                <w:top w:val="none" w:sz="0" w:space="0" w:color="auto"/>
                <w:left w:val="none" w:sz="0" w:space="0" w:color="auto"/>
                <w:bottom w:val="none" w:sz="0" w:space="0" w:color="auto"/>
                <w:right w:val="none" w:sz="0" w:space="0" w:color="auto"/>
              </w:divBdr>
              <w:divsChild>
                <w:div w:id="1653213254">
                  <w:marLeft w:val="0"/>
                  <w:marRight w:val="0"/>
                  <w:marTop w:val="0"/>
                  <w:marBottom w:val="0"/>
                  <w:divBdr>
                    <w:top w:val="none" w:sz="0" w:space="0" w:color="auto"/>
                    <w:left w:val="none" w:sz="0" w:space="0" w:color="auto"/>
                    <w:bottom w:val="none" w:sz="0" w:space="0" w:color="auto"/>
                    <w:right w:val="none" w:sz="0" w:space="0" w:color="auto"/>
                  </w:divBdr>
                  <w:divsChild>
                    <w:div w:id="773743445">
                      <w:marLeft w:val="0"/>
                      <w:marRight w:val="0"/>
                      <w:marTop w:val="0"/>
                      <w:marBottom w:val="0"/>
                      <w:divBdr>
                        <w:top w:val="none" w:sz="0" w:space="0" w:color="auto"/>
                        <w:left w:val="none" w:sz="0" w:space="0" w:color="auto"/>
                        <w:bottom w:val="none" w:sz="0" w:space="0" w:color="auto"/>
                        <w:right w:val="none" w:sz="0" w:space="0" w:color="auto"/>
                      </w:divBdr>
                      <w:divsChild>
                        <w:div w:id="986783744">
                          <w:marLeft w:val="0"/>
                          <w:marRight w:val="0"/>
                          <w:marTop w:val="0"/>
                          <w:marBottom w:val="0"/>
                          <w:divBdr>
                            <w:top w:val="none" w:sz="0" w:space="0" w:color="auto"/>
                            <w:left w:val="none" w:sz="0" w:space="0" w:color="auto"/>
                            <w:bottom w:val="none" w:sz="0" w:space="0" w:color="auto"/>
                            <w:right w:val="none" w:sz="0" w:space="0" w:color="auto"/>
                          </w:divBdr>
                          <w:divsChild>
                            <w:div w:id="488982094">
                              <w:marLeft w:val="0"/>
                              <w:marRight w:val="0"/>
                              <w:marTop w:val="0"/>
                              <w:marBottom w:val="0"/>
                              <w:divBdr>
                                <w:top w:val="none" w:sz="0" w:space="0" w:color="auto"/>
                                <w:left w:val="none" w:sz="0" w:space="0" w:color="auto"/>
                                <w:bottom w:val="none" w:sz="0" w:space="0" w:color="auto"/>
                                <w:right w:val="none" w:sz="0" w:space="0" w:color="auto"/>
                              </w:divBdr>
                              <w:divsChild>
                                <w:div w:id="602229863">
                                  <w:marLeft w:val="0"/>
                                  <w:marRight w:val="0"/>
                                  <w:marTop w:val="0"/>
                                  <w:marBottom w:val="0"/>
                                  <w:divBdr>
                                    <w:top w:val="none" w:sz="0" w:space="0" w:color="auto"/>
                                    <w:left w:val="none" w:sz="0" w:space="0" w:color="auto"/>
                                    <w:bottom w:val="none" w:sz="0" w:space="0" w:color="auto"/>
                                    <w:right w:val="none" w:sz="0" w:space="0" w:color="auto"/>
                                  </w:divBdr>
                                  <w:divsChild>
                                    <w:div w:id="371350392">
                                      <w:marLeft w:val="0"/>
                                      <w:marRight w:val="0"/>
                                      <w:marTop w:val="0"/>
                                      <w:marBottom w:val="0"/>
                                      <w:divBdr>
                                        <w:top w:val="none" w:sz="0" w:space="0" w:color="auto"/>
                                        <w:left w:val="none" w:sz="0" w:space="0" w:color="auto"/>
                                        <w:bottom w:val="none" w:sz="0" w:space="0" w:color="auto"/>
                                        <w:right w:val="none" w:sz="0" w:space="0" w:color="auto"/>
                                      </w:divBdr>
                                      <w:divsChild>
                                        <w:div w:id="1964578691">
                                          <w:marLeft w:val="0"/>
                                          <w:marRight w:val="0"/>
                                          <w:marTop w:val="0"/>
                                          <w:marBottom w:val="0"/>
                                          <w:divBdr>
                                            <w:top w:val="none" w:sz="0" w:space="0" w:color="auto"/>
                                            <w:left w:val="none" w:sz="0" w:space="0" w:color="auto"/>
                                            <w:bottom w:val="none" w:sz="0" w:space="0" w:color="auto"/>
                                            <w:right w:val="none" w:sz="0" w:space="0" w:color="auto"/>
                                          </w:divBdr>
                                          <w:divsChild>
                                            <w:div w:id="1065181931">
                                              <w:marLeft w:val="0"/>
                                              <w:marRight w:val="0"/>
                                              <w:marTop w:val="0"/>
                                              <w:marBottom w:val="0"/>
                                              <w:divBdr>
                                                <w:top w:val="none" w:sz="0" w:space="0" w:color="auto"/>
                                                <w:left w:val="none" w:sz="0" w:space="0" w:color="auto"/>
                                                <w:bottom w:val="none" w:sz="0" w:space="0" w:color="auto"/>
                                                <w:right w:val="none" w:sz="0" w:space="0" w:color="auto"/>
                                              </w:divBdr>
                                              <w:divsChild>
                                                <w:div w:id="956301994">
                                                  <w:marLeft w:val="0"/>
                                                  <w:marRight w:val="0"/>
                                                  <w:marTop w:val="0"/>
                                                  <w:marBottom w:val="0"/>
                                                  <w:divBdr>
                                                    <w:top w:val="none" w:sz="0" w:space="0" w:color="auto"/>
                                                    <w:left w:val="none" w:sz="0" w:space="0" w:color="auto"/>
                                                    <w:bottom w:val="none" w:sz="0" w:space="0" w:color="auto"/>
                                                    <w:right w:val="none" w:sz="0" w:space="0" w:color="auto"/>
                                                  </w:divBdr>
                                                  <w:divsChild>
                                                    <w:div w:id="350957346">
                                                      <w:marLeft w:val="0"/>
                                                      <w:marRight w:val="0"/>
                                                      <w:marTop w:val="0"/>
                                                      <w:marBottom w:val="0"/>
                                                      <w:divBdr>
                                                        <w:top w:val="none" w:sz="0" w:space="0" w:color="auto"/>
                                                        <w:left w:val="none" w:sz="0" w:space="0" w:color="auto"/>
                                                        <w:bottom w:val="none" w:sz="0" w:space="0" w:color="auto"/>
                                                        <w:right w:val="none" w:sz="0" w:space="0" w:color="auto"/>
                                                      </w:divBdr>
                                                      <w:divsChild>
                                                        <w:div w:id="621881924">
                                                          <w:marLeft w:val="0"/>
                                                          <w:marRight w:val="0"/>
                                                          <w:marTop w:val="450"/>
                                                          <w:marBottom w:val="450"/>
                                                          <w:divBdr>
                                                            <w:top w:val="none" w:sz="0" w:space="0" w:color="auto"/>
                                                            <w:left w:val="none" w:sz="0" w:space="0" w:color="auto"/>
                                                            <w:bottom w:val="none" w:sz="0" w:space="0" w:color="auto"/>
                                                            <w:right w:val="none" w:sz="0" w:space="0" w:color="auto"/>
                                                          </w:divBdr>
                                                          <w:divsChild>
                                                            <w:div w:id="621499589">
                                                              <w:marLeft w:val="0"/>
                                                              <w:marRight w:val="0"/>
                                                              <w:marTop w:val="0"/>
                                                              <w:marBottom w:val="0"/>
                                                              <w:divBdr>
                                                                <w:top w:val="none" w:sz="0" w:space="0" w:color="auto"/>
                                                                <w:left w:val="none" w:sz="0" w:space="0" w:color="auto"/>
                                                                <w:bottom w:val="none" w:sz="0" w:space="0" w:color="auto"/>
                                                                <w:right w:val="none" w:sz="0" w:space="0" w:color="auto"/>
                                                              </w:divBdr>
                                                              <w:divsChild>
                                                                <w:div w:id="934291343">
                                                                  <w:marLeft w:val="0"/>
                                                                  <w:marRight w:val="0"/>
                                                                  <w:marTop w:val="525"/>
                                                                  <w:marBottom w:val="300"/>
                                                                  <w:divBdr>
                                                                    <w:top w:val="single" w:sz="6" w:space="0" w:color="8CE1F5"/>
                                                                    <w:left w:val="single" w:sz="6" w:space="11" w:color="8CE1F5"/>
                                                                    <w:bottom w:val="single" w:sz="6" w:space="0" w:color="8CE1F5"/>
                                                                    <w:right w:val="single" w:sz="6" w:space="11" w:color="8CE1F5"/>
                                                                  </w:divBdr>
                                                                  <w:divsChild>
                                                                    <w:div w:id="393705251">
                                                                      <w:marLeft w:val="0"/>
                                                                      <w:marRight w:val="0"/>
                                                                      <w:marTop w:val="0"/>
                                                                      <w:marBottom w:val="0"/>
                                                                      <w:divBdr>
                                                                        <w:top w:val="none" w:sz="0" w:space="0" w:color="auto"/>
                                                                        <w:left w:val="none" w:sz="0" w:space="0" w:color="auto"/>
                                                                        <w:bottom w:val="none" w:sz="0" w:space="0" w:color="auto"/>
                                                                        <w:right w:val="none" w:sz="0" w:space="0" w:color="auto"/>
                                                                      </w:divBdr>
                                                                      <w:divsChild>
                                                                        <w:div w:id="721826480">
                                                                          <w:marLeft w:val="0"/>
                                                                          <w:marRight w:val="0"/>
                                                                          <w:marTop w:val="0"/>
                                                                          <w:marBottom w:val="0"/>
                                                                          <w:divBdr>
                                                                            <w:top w:val="single" w:sz="6" w:space="11" w:color="8CE1F5"/>
                                                                            <w:left w:val="none" w:sz="0" w:space="0" w:color="auto"/>
                                                                            <w:bottom w:val="none" w:sz="0" w:space="0" w:color="auto"/>
                                                                            <w:right w:val="none" w:sz="0" w:space="0" w:color="auto"/>
                                                                          </w:divBdr>
                                                                          <w:divsChild>
                                                                            <w:div w:id="1364750225">
                                                                              <w:marLeft w:val="0"/>
                                                                              <w:marRight w:val="0"/>
                                                                              <w:marTop w:val="0"/>
                                                                              <w:marBottom w:val="0"/>
                                                                              <w:divBdr>
                                                                                <w:top w:val="none" w:sz="0" w:space="0" w:color="auto"/>
                                                                                <w:left w:val="none" w:sz="0" w:space="0" w:color="auto"/>
                                                                                <w:bottom w:val="none" w:sz="0" w:space="0" w:color="auto"/>
                                                                                <w:right w:val="none" w:sz="0" w:space="0" w:color="auto"/>
                                                                              </w:divBdr>
                                                                              <w:divsChild>
                                                                                <w:div w:id="1991517769">
                                                                                  <w:marLeft w:val="0"/>
                                                                                  <w:marRight w:val="0"/>
                                                                                  <w:marTop w:val="0"/>
                                                                                  <w:marBottom w:val="0"/>
                                                                                  <w:divBdr>
                                                                                    <w:top w:val="none" w:sz="0" w:space="0" w:color="auto"/>
                                                                                    <w:left w:val="none" w:sz="0" w:space="0" w:color="auto"/>
                                                                                    <w:bottom w:val="none" w:sz="0" w:space="0" w:color="auto"/>
                                                                                    <w:right w:val="none" w:sz="0" w:space="0" w:color="auto"/>
                                                                                  </w:divBdr>
                                                                                  <w:divsChild>
                                                                                    <w:div w:id="902258774">
                                                                                      <w:marLeft w:val="0"/>
                                                                                      <w:marRight w:val="0"/>
                                                                                      <w:marTop w:val="0"/>
                                                                                      <w:marBottom w:val="0"/>
                                                                                      <w:divBdr>
                                                                                        <w:top w:val="none" w:sz="0" w:space="0" w:color="auto"/>
                                                                                        <w:left w:val="none" w:sz="0" w:space="0" w:color="auto"/>
                                                                                        <w:bottom w:val="none" w:sz="0" w:space="0" w:color="auto"/>
                                                                                        <w:right w:val="none" w:sz="0" w:space="0" w:color="auto"/>
                                                                                      </w:divBdr>
                                                                                      <w:divsChild>
                                                                                        <w:div w:id="897859830">
                                                                                          <w:marLeft w:val="0"/>
                                                                                          <w:marRight w:val="0"/>
                                                                                          <w:marTop w:val="0"/>
                                                                                          <w:marBottom w:val="0"/>
                                                                                          <w:divBdr>
                                                                                            <w:top w:val="none" w:sz="0" w:space="0" w:color="auto"/>
                                                                                            <w:left w:val="none" w:sz="0" w:space="0" w:color="auto"/>
                                                                                            <w:bottom w:val="none" w:sz="0" w:space="0" w:color="auto"/>
                                                                                            <w:right w:val="none" w:sz="0" w:space="0" w:color="auto"/>
                                                                                          </w:divBdr>
                                                                                          <w:divsChild>
                                                                                            <w:div w:id="1541671051">
                                                                                              <w:marLeft w:val="0"/>
                                                                                              <w:marRight w:val="0"/>
                                                                                              <w:marTop w:val="0"/>
                                                                                              <w:marBottom w:val="220"/>
                                                                                              <w:divBdr>
                                                                                                <w:top w:val="none" w:sz="0" w:space="0" w:color="auto"/>
                                                                                                <w:left w:val="none" w:sz="0" w:space="0" w:color="auto"/>
                                                                                                <w:bottom w:val="none" w:sz="0" w:space="0" w:color="auto"/>
                                                                                                <w:right w:val="none" w:sz="0" w:space="0" w:color="auto"/>
                                                                                              </w:divBdr>
                                                                                              <w:divsChild>
                                                                                                <w:div w:id="2119182388">
                                                                                                  <w:marLeft w:val="0"/>
                                                                                                  <w:marRight w:val="0"/>
                                                                                                  <w:marTop w:val="0"/>
                                                                                                  <w:marBottom w:val="220"/>
                                                                                                  <w:divBdr>
                                                                                                    <w:top w:val="none" w:sz="0" w:space="0" w:color="auto"/>
                                                                                                    <w:left w:val="none" w:sz="0" w:space="0" w:color="auto"/>
                                                                                                    <w:bottom w:val="none" w:sz="0" w:space="0" w:color="auto"/>
                                                                                                    <w:right w:val="none" w:sz="0" w:space="0" w:color="auto"/>
                                                                                                  </w:divBdr>
                                                                                                  <w:divsChild>
                                                                                                    <w:div w:id="118463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375973">
      <w:bodyDiv w:val="1"/>
      <w:marLeft w:val="0"/>
      <w:marRight w:val="0"/>
      <w:marTop w:val="0"/>
      <w:marBottom w:val="0"/>
      <w:divBdr>
        <w:top w:val="none" w:sz="0" w:space="0" w:color="auto"/>
        <w:left w:val="none" w:sz="0" w:space="0" w:color="auto"/>
        <w:bottom w:val="none" w:sz="0" w:space="0" w:color="auto"/>
        <w:right w:val="none" w:sz="0" w:space="0" w:color="auto"/>
      </w:divBdr>
    </w:div>
    <w:div w:id="132065865">
      <w:bodyDiv w:val="1"/>
      <w:marLeft w:val="0"/>
      <w:marRight w:val="0"/>
      <w:marTop w:val="0"/>
      <w:marBottom w:val="0"/>
      <w:divBdr>
        <w:top w:val="none" w:sz="0" w:space="0" w:color="auto"/>
        <w:left w:val="none" w:sz="0" w:space="0" w:color="auto"/>
        <w:bottom w:val="none" w:sz="0" w:space="0" w:color="auto"/>
        <w:right w:val="none" w:sz="0" w:space="0" w:color="auto"/>
      </w:divBdr>
    </w:div>
    <w:div w:id="282078952">
      <w:bodyDiv w:val="1"/>
      <w:marLeft w:val="0"/>
      <w:marRight w:val="0"/>
      <w:marTop w:val="0"/>
      <w:marBottom w:val="0"/>
      <w:divBdr>
        <w:top w:val="none" w:sz="0" w:space="0" w:color="auto"/>
        <w:left w:val="none" w:sz="0" w:space="0" w:color="auto"/>
        <w:bottom w:val="none" w:sz="0" w:space="0" w:color="auto"/>
        <w:right w:val="none" w:sz="0" w:space="0" w:color="auto"/>
      </w:divBdr>
    </w:div>
    <w:div w:id="119315010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5638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4CF43-7DE0-435A-9A9D-FBE175EA3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2577</Words>
  <Characters>13660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2017-08-11T20:24:00Z</dcterms:created>
  <dcterms:modified xsi:type="dcterms:W3CDTF">2017-08-11T20:24:00Z</dcterms:modified>
</cp:coreProperties>
</file>